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17" w:rsidRPr="00271E58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E58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«Перекресток»</w:t>
      </w:r>
    </w:p>
    <w:p w:rsidR="00B72217" w:rsidRPr="00271E58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E58">
        <w:rPr>
          <w:rFonts w:ascii="Times New Roman" w:eastAsia="Times New Roman" w:hAnsi="Times New Roman" w:cs="Times New Roman"/>
          <w:sz w:val="28"/>
          <w:szCs w:val="28"/>
        </w:rPr>
        <w:t>ООО «Перекресток»</w:t>
      </w:r>
    </w:p>
    <w:p w:rsidR="00B72217" w:rsidRPr="00003564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564" w:rsidRPr="00003564" w:rsidRDefault="00003564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254F" w:rsidTr="005F3EB2">
        <w:tc>
          <w:tcPr>
            <w:tcW w:w="4785" w:type="dxa"/>
          </w:tcPr>
          <w:p w:rsidR="0036254F" w:rsidRDefault="0036254F" w:rsidP="005F3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6254F" w:rsidRPr="003D3065" w:rsidRDefault="0036254F" w:rsidP="005F3EB2">
            <w:pPr>
              <w:rPr>
                <w:rFonts w:ascii="Times New Roman" w:hAnsi="Times New Roman"/>
                <w:sz w:val="24"/>
                <w:szCs w:val="24"/>
              </w:rPr>
            </w:pPr>
            <w:r w:rsidRPr="003D3065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36254F" w:rsidRPr="003D3065" w:rsidRDefault="0036254F" w:rsidP="005F3EB2">
            <w:pPr>
              <w:rPr>
                <w:rFonts w:ascii="Times New Roman" w:hAnsi="Times New Roman"/>
                <w:sz w:val="24"/>
                <w:szCs w:val="24"/>
              </w:rPr>
            </w:pPr>
            <w:r w:rsidRPr="003D3065">
              <w:rPr>
                <w:rFonts w:ascii="Times New Roman" w:hAnsi="Times New Roman"/>
                <w:sz w:val="24"/>
                <w:szCs w:val="24"/>
              </w:rPr>
              <w:t xml:space="preserve">Западно-Сибирского </w:t>
            </w:r>
          </w:p>
          <w:p w:rsidR="0036254F" w:rsidRDefault="0036254F" w:rsidP="005F3EB2">
            <w:pPr>
              <w:rPr>
                <w:rFonts w:ascii="Times New Roman" w:hAnsi="Times New Roman"/>
                <w:sz w:val="24"/>
                <w:szCs w:val="24"/>
              </w:rPr>
            </w:pPr>
            <w:r w:rsidRPr="003D3065">
              <w:rPr>
                <w:rFonts w:ascii="Times New Roman" w:hAnsi="Times New Roman"/>
                <w:sz w:val="24"/>
                <w:szCs w:val="24"/>
              </w:rPr>
              <w:t xml:space="preserve">межрегионального управления государственного автодорожного надзора Федеральной службы по надзору в сфере транспорта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3D3065">
              <w:rPr>
                <w:rFonts w:ascii="Times New Roman" w:hAnsi="Times New Roman"/>
                <w:sz w:val="24"/>
                <w:szCs w:val="24"/>
              </w:rPr>
              <w:t>Д.А.Петров</w:t>
            </w:r>
          </w:p>
          <w:p w:rsidR="0036254F" w:rsidRDefault="0036254F" w:rsidP="005F3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254F" w:rsidRPr="00003564" w:rsidRDefault="0036254F" w:rsidP="005F3EB2">
            <w:pPr>
              <w:spacing w:line="276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64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36254F" w:rsidRPr="00003564" w:rsidRDefault="0036254F" w:rsidP="005F3EB2">
            <w:pPr>
              <w:spacing w:line="276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64">
              <w:rPr>
                <w:rFonts w:ascii="Times New Roman" w:eastAsia="Times New Roman" w:hAnsi="Times New Roman"/>
                <w:sz w:val="24"/>
                <w:szCs w:val="24"/>
              </w:rPr>
              <w:t>Директор ООО «Перекресток»</w:t>
            </w:r>
          </w:p>
          <w:p w:rsidR="0036254F" w:rsidRDefault="0036254F" w:rsidP="005F3EB2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003564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Е.Ю.Мусалимов</w:t>
            </w:r>
          </w:p>
          <w:p w:rsidR="0036254F" w:rsidRDefault="0036254F" w:rsidP="005F3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«____»_______________2022 г.</w:t>
            </w:r>
          </w:p>
        </w:tc>
      </w:tr>
    </w:tbl>
    <w:p w:rsidR="00B72217" w:rsidRPr="00003564" w:rsidRDefault="00B72217" w:rsidP="00271E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200F6E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71E58" w:rsidRDefault="002C58BD" w:rsidP="003D56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F6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ОБРАЗОВАТЕЛЬНАЯ </w:t>
      </w:r>
      <w:r w:rsidR="00B72217" w:rsidRPr="00200F6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ПРОГРАММА</w:t>
      </w:r>
      <w:r w:rsidR="00B72217" w:rsidRPr="00200F6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br/>
      </w:r>
      <w:r w:rsidR="003D56A4" w:rsidRPr="00200F6E">
        <w:rPr>
          <w:rFonts w:ascii="Times New Roman" w:hAnsi="Times New Roman" w:cs="Times New Roman"/>
          <w:sz w:val="32"/>
          <w:szCs w:val="32"/>
        </w:rPr>
        <w:t xml:space="preserve">профессионального обучения </w:t>
      </w:r>
    </w:p>
    <w:p w:rsidR="00271E58" w:rsidRDefault="003D56A4" w:rsidP="003D56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F6E">
        <w:rPr>
          <w:rFonts w:ascii="Times New Roman" w:hAnsi="Times New Roman" w:cs="Times New Roman"/>
          <w:sz w:val="32"/>
          <w:szCs w:val="32"/>
        </w:rPr>
        <w:t xml:space="preserve">по программе повышения квалификации водителей, </w:t>
      </w:r>
    </w:p>
    <w:p w:rsidR="00200F6E" w:rsidRDefault="003D56A4" w:rsidP="00271E5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200F6E">
        <w:rPr>
          <w:rFonts w:ascii="Times New Roman" w:hAnsi="Times New Roman" w:cs="Times New Roman"/>
          <w:sz w:val="32"/>
          <w:szCs w:val="32"/>
        </w:rPr>
        <w:t>осуществляющих перевозки опасных грузов в соответствии с Соглашением о международной дорожной перевозке опасных грузов</w:t>
      </w:r>
    </w:p>
    <w:p w:rsidR="00B72217" w:rsidRPr="00271E58" w:rsidRDefault="003D56A4" w:rsidP="00200F6E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200F6E">
        <w:rPr>
          <w:rFonts w:ascii="Times New Roman" w:hAnsi="Times New Roman" w:cs="Times New Roman"/>
          <w:sz w:val="32"/>
          <w:szCs w:val="32"/>
        </w:rPr>
        <w:t xml:space="preserve"> (специализированный курс по перевозке веществ и изделий класса</w:t>
      </w:r>
      <w:r w:rsidRPr="00271E58">
        <w:rPr>
          <w:rFonts w:ascii="Times New Roman" w:hAnsi="Times New Roman" w:cs="Times New Roman"/>
          <w:sz w:val="32"/>
          <w:szCs w:val="32"/>
        </w:rPr>
        <w:t xml:space="preserve"> 1)</w:t>
      </w: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099" w:rsidRDefault="00504099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099" w:rsidRDefault="00504099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32" w:rsidRDefault="006B7FC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</w:t>
      </w:r>
      <w:r w:rsidR="00271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72217" w:rsidRDefault="006B7FC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81F32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328D8" w:rsidRDefault="00C54B4C" w:rsidP="00E155D9">
      <w:pPr>
        <w:pStyle w:val="1"/>
        <w:ind w:left="720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>Общие положения</w:t>
      </w:r>
    </w:p>
    <w:p w:rsidR="00E155D9" w:rsidRPr="00E155D9" w:rsidRDefault="00E155D9" w:rsidP="00E155D9"/>
    <w:p w:rsidR="007C0B8C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C58BD">
        <w:rPr>
          <w:rStyle w:val="a3"/>
          <w:rFonts w:ascii="Times New Roman" w:hAnsi="Times New Roman" w:cs="Times New Roman"/>
          <w:sz w:val="24"/>
          <w:szCs w:val="24"/>
        </w:rPr>
        <w:t>Образовательная п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рограмма профессионального обучения по програм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>мам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повышения квалификации водителей, осуществляющих перевозки опасных грузов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Соглашением о международной дорожной перевозке опасных грузов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разработана в соответствии со статьей 73 Федерального закона от 29 декабря 2012 г. № 273-ФЗ «Об обра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зовании в Российской федерации» (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№ 53, ст. 7598; 2021, № 22 , ст. 3679)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30 июля 2020 г. № 265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 (з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арегистрирован Минюстом России 13 ноября 2020 г., регистрационный № 60894, с изменением, внесенным приказом Минтранса России от 28 сентября 2021 г. № 328 (зарегистрирован Минюстом России 29 октября 2021 г., регистрационный № 65641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Минпросвещения России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Зарегистрирован Минюстом России 11 сентября 2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020 г., регистрационный № 59784)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и предписаниями главы 8.2 Приложения В к Соглашению о международной дорожной перевозке опасных грузов от 30 сентября 1957 г.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(далее — ДОПОГ)</w:t>
      </w:r>
    </w:p>
    <w:p w:rsidR="002328D8" w:rsidRPr="002328D8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обучение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проводится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по образовательной программе, разработанной на основании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типовых программ,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утвержденных Приказом Министерства транспорта РФ (Минтранс</w:t>
      </w:r>
      <w:r w:rsidR="001D3F9F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России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) от 11.01.2022 г. «Об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грузов» (зарегистрирован </w:t>
      </w:r>
      <w:r w:rsidR="001D3F9F" w:rsidRPr="007C0B8C">
        <w:rPr>
          <w:rStyle w:val="a3"/>
          <w:rFonts w:ascii="Times New Roman" w:hAnsi="Times New Roman" w:cs="Times New Roman"/>
          <w:sz w:val="24"/>
          <w:szCs w:val="24"/>
        </w:rPr>
        <w:t xml:space="preserve">Минюстом России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15.02.2022 г., регистрационный № 67295)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54B4C" w:rsidRPr="002328D8" w:rsidRDefault="002328D8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</w:t>
      </w:r>
      <w:r w:rsidR="00E878A9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78A9">
        <w:rPr>
          <w:rStyle w:val="a3"/>
          <w:rFonts w:ascii="Times New Roman" w:hAnsi="Times New Roman" w:cs="Times New Roman"/>
          <w:sz w:val="24"/>
          <w:szCs w:val="24"/>
        </w:rPr>
        <w:t>С</w:t>
      </w:r>
      <w:r w:rsidR="00E878A9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оглашением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о международной дорожной перевозке опасных грузов (далее - водитель, перевозящий опасные грузы).</w:t>
      </w:r>
    </w:p>
    <w:p w:rsidR="00883E8B" w:rsidRPr="00883E8B" w:rsidRDefault="002328D8" w:rsidP="00883E8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Содержание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представлено общими положениями, учебными планами, содержанием тем учебных планов, планируемыми результатами освоения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и системой оценки результатов освоения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83E8B" w:rsidRDefault="000A684F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Продолжительность обучения, а также перечень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 xml:space="preserve">тем 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курса обучения устанавливается учебно-тематическим</w:t>
      </w:r>
      <w:r>
        <w:rPr>
          <w:rStyle w:val="a3"/>
          <w:rFonts w:ascii="Times New Roman" w:hAnsi="Times New Roman" w:cs="Times New Roman"/>
          <w:sz w:val="24"/>
          <w:szCs w:val="24"/>
        </w:rPr>
        <w:t>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Style w:val="a3"/>
          <w:rFonts w:ascii="Times New Roman" w:hAnsi="Times New Roman" w:cs="Times New Roman"/>
          <w:sz w:val="24"/>
          <w:szCs w:val="24"/>
        </w:rPr>
        <w:t>ами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83E8B" w:rsidRDefault="00883E8B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 (далее — свидетельство ДОПОГ), осуществляется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ом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представленным в Таблице 1.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имеющих действующее свидетельство ДОПОГ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ом представленным в Таблице 2.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A684F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Для получения обучающимися необходимых знаний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>программой предусматривается проведение,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r w:rsidR="000A684F" w:rsidRPr="00883E8B">
        <w:t xml:space="preserve">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E155D9" w:rsidRDefault="00E155D9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A684F" w:rsidRDefault="000A684F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  <w:t xml:space="preserve">Образовательной 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a3"/>
          <w:rFonts w:ascii="Times New Roman" w:hAnsi="Times New Roman" w:cs="Times New Roman"/>
          <w:sz w:val="24"/>
          <w:szCs w:val="24"/>
        </w:rPr>
        <w:t>ой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0A684F">
        <w:rPr>
          <w:rStyle w:val="a3"/>
          <w:rFonts w:ascii="Times New Roman" w:hAnsi="Times New Roman" w:cs="Times New Roman"/>
          <w:sz w:val="24"/>
          <w:szCs w:val="24"/>
        </w:rPr>
        <w:t>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D86716" w:rsidRDefault="000A684F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обучение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водителей, осуществляющих перевозки опасных грузов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проводится не реже одного раза в пять лет.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71E58" w:rsidRDefault="002328D8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D86716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обучению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и не менее трех лет.</w:t>
      </w:r>
      <w:r w:rsidR="000A684F" w:rsidRPr="000A684F">
        <w:rPr>
          <w:rStyle w:val="a3"/>
          <w:rFonts w:ascii="Times New Roman" w:hAnsi="Times New Roman" w:cs="Times New Roman"/>
          <w:sz w:val="24"/>
          <w:szCs w:val="24"/>
        </w:rPr>
        <w:t xml:space="preserve">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.</w:t>
      </w:r>
      <w:bookmarkStart w:id="0" w:name="_Toc402796698"/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57942" w:rsidRPr="002328D8" w:rsidRDefault="00271E58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К профессиональному обучению водителей, осуществляющих перевозки опасных грузов, в соответствии с учебным планом,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>представленным в Таблице 2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, допускаются водители, соответствующие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указанным выше 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>требованиям и имеющие действующее свидетельство ДОПОГ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D86716" w:rsidRDefault="00D86716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sz w:val="24"/>
          <w:szCs w:val="24"/>
        </w:rPr>
        <w:t>включают: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учебный план; календарный учебный график;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образовательную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рограмму; методические материалы и разработки; расписание занятий.</w:t>
      </w:r>
    </w:p>
    <w:bookmarkEnd w:id="0"/>
    <w:p w:rsidR="00604926" w:rsidRDefault="00604926" w:rsidP="00DD0CA2">
      <w:pPr>
        <w:pStyle w:val="1"/>
        <w:rPr>
          <w:rFonts w:ascii="Times New Roman" w:hAnsi="Times New Roman" w:cs="Times New Roman"/>
          <w:u w:val="none"/>
        </w:rPr>
      </w:pPr>
    </w:p>
    <w:p w:rsidR="00810B0B" w:rsidRDefault="00F6323C" w:rsidP="00DD0CA2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t>Учебно-тематический план</w:t>
      </w:r>
      <w:r w:rsidR="000A684F">
        <w:rPr>
          <w:rFonts w:ascii="Times New Roman" w:hAnsi="Times New Roman" w:cs="Times New Roman"/>
          <w:u w:val="none"/>
        </w:rPr>
        <w:t xml:space="preserve"> о</w:t>
      </w:r>
      <w:r w:rsidR="000A684F" w:rsidRPr="000A684F">
        <w:rPr>
          <w:rFonts w:ascii="Times New Roman" w:hAnsi="Times New Roman" w:cs="Times New Roman"/>
          <w:u w:val="none"/>
        </w:rPr>
        <w:t>бучение 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</w:t>
      </w:r>
    </w:p>
    <w:p w:rsidR="00F6323C" w:rsidRPr="00D86716" w:rsidRDefault="00D86716" w:rsidP="00810B0B">
      <w:pPr>
        <w:pStyle w:val="1"/>
        <w:jc w:val="right"/>
        <w:rPr>
          <w:rStyle w:val="a3"/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u w:val="none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4559"/>
        <w:gridCol w:w="1270"/>
        <w:gridCol w:w="1680"/>
        <w:gridCol w:w="1589"/>
      </w:tblGrid>
      <w:tr w:rsidR="003D56A4" w:rsidRPr="002328D8" w:rsidTr="009C58E1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271E58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веществ и изделий класса 1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3D56A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Требования к таре. Маркировка и знаки опасности для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6A4" w:rsidRPr="002328D8" w:rsidTr="009C58E1">
        <w:trPr>
          <w:trHeight w:val="292"/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6A4" w:rsidRPr="002328D8" w:rsidTr="009C58E1">
        <w:trPr>
          <w:jc w:val="center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323C" w:rsidRPr="002328D8" w:rsidRDefault="00F6323C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F6323C" w:rsidRDefault="00F6323C" w:rsidP="00810B0B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 xml:space="preserve">Учебно-тематический план </w:t>
      </w:r>
      <w:r w:rsidR="00810B0B" w:rsidRPr="00810B0B">
        <w:rPr>
          <w:rFonts w:ascii="Times New Roman" w:hAnsi="Times New Roman" w:cs="Times New Roman"/>
          <w:u w:val="none"/>
        </w:rPr>
        <w:t>обучени</w:t>
      </w:r>
      <w:r w:rsidR="00810B0B">
        <w:rPr>
          <w:rFonts w:ascii="Times New Roman" w:hAnsi="Times New Roman" w:cs="Times New Roman"/>
          <w:u w:val="none"/>
        </w:rPr>
        <w:t>я</w:t>
      </w:r>
      <w:r w:rsidR="00810B0B" w:rsidRPr="00810B0B">
        <w:rPr>
          <w:rFonts w:ascii="Times New Roman" w:hAnsi="Times New Roman" w:cs="Times New Roman"/>
          <w:u w:val="none"/>
        </w:rPr>
        <w:t xml:space="preserve"> водителей, осуществляющих перевозки опасных грузов, имеющих действующее свидетельство ДОПОГ</w:t>
      </w:r>
    </w:p>
    <w:p w:rsidR="00810B0B" w:rsidRPr="00D86716" w:rsidRDefault="00D86716" w:rsidP="00D86716">
      <w:pPr>
        <w:pStyle w:val="1"/>
        <w:jc w:val="right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i/>
          <w:u w:val="none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569"/>
        <w:gridCol w:w="1390"/>
        <w:gridCol w:w="1651"/>
        <w:gridCol w:w="1482"/>
      </w:tblGrid>
      <w:tr w:rsidR="003D56A4" w:rsidRPr="002328D8" w:rsidTr="009C58E1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271E58" w:rsidP="00271E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  <w:r w:rsidR="003D56A4"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D56A4"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6A4"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веществ и изделий класса 1 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3D56A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Требования к таре. Маркировка и знаки опасности для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6A4" w:rsidRPr="002328D8" w:rsidTr="009C58E1">
        <w:trPr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A4" w:rsidRPr="002328D8" w:rsidRDefault="003D56A4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323C" w:rsidRPr="002328D8" w:rsidRDefault="00F6323C" w:rsidP="00F6323C">
      <w:pPr>
        <w:rPr>
          <w:rFonts w:ascii="Times New Roman" w:hAnsi="Times New Roman" w:cs="Times New Roman"/>
          <w:sz w:val="24"/>
          <w:szCs w:val="24"/>
        </w:rPr>
      </w:pPr>
    </w:p>
    <w:p w:rsidR="00F6323C" w:rsidRDefault="00F6323C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1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109A">
        <w:rPr>
          <w:rFonts w:ascii="Times New Roman" w:hAnsi="Times New Roman" w:cs="Times New Roman"/>
          <w:b/>
          <w:sz w:val="24"/>
          <w:szCs w:val="24"/>
        </w:rPr>
        <w:t>тем</w:t>
      </w:r>
      <w:r w:rsidRPr="008A4219">
        <w:rPr>
          <w:rFonts w:ascii="Times New Roman" w:hAnsi="Times New Roman" w:cs="Times New Roman"/>
          <w:b/>
          <w:sz w:val="24"/>
          <w:szCs w:val="24"/>
        </w:rPr>
        <w:t xml:space="preserve"> учебно-тематическ</w:t>
      </w:r>
      <w:r w:rsidR="001A109A">
        <w:rPr>
          <w:rFonts w:ascii="Times New Roman" w:hAnsi="Times New Roman" w:cs="Times New Roman"/>
          <w:b/>
          <w:sz w:val="24"/>
          <w:szCs w:val="24"/>
        </w:rPr>
        <w:t>их</w:t>
      </w:r>
      <w:r w:rsidRPr="008A421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1A109A">
        <w:rPr>
          <w:rFonts w:ascii="Times New Roman" w:hAnsi="Times New Roman" w:cs="Times New Roman"/>
          <w:b/>
          <w:sz w:val="24"/>
          <w:szCs w:val="24"/>
        </w:rPr>
        <w:t>ов</w:t>
      </w:r>
    </w:p>
    <w:p w:rsidR="003D56A4" w:rsidRPr="008A4219" w:rsidRDefault="003D56A4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BB614C">
        <w:rPr>
          <w:rFonts w:ascii="Times New Roman" w:hAnsi="Times New Roman" w:cs="Times New Roman"/>
          <w:b/>
          <w:sz w:val="24"/>
          <w:szCs w:val="24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BB614C">
        <w:rPr>
          <w:rStyle w:val="a3"/>
          <w:rFonts w:ascii="Times New Roman" w:hAnsi="Times New Roman" w:cs="Times New Roman"/>
          <w:sz w:val="24"/>
          <w:szCs w:val="24"/>
        </w:rPr>
        <w:t>Термины и определения. Характеристика взрывчатых и пиротехнических веществ и изделий и их физико-химические свойства.</w:t>
      </w: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BB614C">
        <w:rPr>
          <w:rStyle w:val="a3"/>
          <w:rFonts w:ascii="Times New Roman" w:hAnsi="Times New Roman" w:cs="Times New Roman"/>
          <w:sz w:val="24"/>
          <w:szCs w:val="24"/>
        </w:rPr>
        <w:t>Деление веществ и изделий класса 1 на подклассы. Классификационные коды. Группы совместимости веществ и изделий.</w:t>
      </w: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BB614C">
        <w:rPr>
          <w:rStyle w:val="a3"/>
          <w:rFonts w:ascii="Times New Roman" w:hAnsi="Times New Roman" w:cs="Times New Roman"/>
          <w:sz w:val="24"/>
          <w:szCs w:val="24"/>
        </w:rPr>
        <w:t>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BB614C">
        <w:rPr>
          <w:rStyle w:val="a3"/>
          <w:rFonts w:ascii="Times New Roman" w:hAnsi="Times New Roman" w:cs="Times New Roman"/>
          <w:sz w:val="24"/>
          <w:szCs w:val="24"/>
        </w:rPr>
        <w:t>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BB614C">
        <w:rPr>
          <w:rStyle w:val="a3"/>
          <w:rFonts w:ascii="Times New Roman" w:hAnsi="Times New Roman" w:cs="Times New Roman"/>
          <w:sz w:val="24"/>
          <w:szCs w:val="24"/>
        </w:rPr>
        <w:t>Знаки опасности, указывающие на опасные свойства грузов класса 1.</w:t>
      </w: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BB614C">
        <w:rPr>
          <w:rStyle w:val="a3"/>
          <w:rFonts w:ascii="Times New Roman" w:hAnsi="Times New Roman" w:cs="Times New Roman"/>
          <w:sz w:val="24"/>
          <w:szCs w:val="24"/>
        </w:rPr>
        <w:t>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3D56A4" w:rsidRPr="00BB614C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BB614C">
        <w:rPr>
          <w:rStyle w:val="a3"/>
          <w:rFonts w:ascii="Times New Roman" w:hAnsi="Times New Roman" w:cs="Times New Roman"/>
          <w:sz w:val="24"/>
          <w:szCs w:val="24"/>
        </w:rPr>
        <w:t>Вещества и изделия, не допускаемые к перевозке. Перечень сводных позиций. Глоссарий наименований.</w:t>
      </w:r>
    </w:p>
    <w:p w:rsidR="003D56A4" w:rsidRDefault="003D56A4" w:rsidP="003D56A4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3D56A4" w:rsidRDefault="003D56A4" w:rsidP="003D56A4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3D56A4" w:rsidRDefault="003D56A4" w:rsidP="003D56A4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3D56A4" w:rsidRDefault="003D56A4" w:rsidP="003D56A4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Требования к таре</w:t>
      </w:r>
      <w:r w:rsidRPr="00053828">
        <w:rPr>
          <w:rFonts w:ascii="Times New Roman" w:hAnsi="Times New Roman" w:cs="Times New Roman"/>
          <w:b/>
        </w:rPr>
        <w:t>. Маркировка и знаки опасно</w:t>
      </w:r>
      <w:r>
        <w:rPr>
          <w:rFonts w:ascii="Times New Roman" w:hAnsi="Times New Roman" w:cs="Times New Roman"/>
          <w:b/>
        </w:rPr>
        <w:t>сти для опасных грузов класса 1.</w:t>
      </w:r>
    </w:p>
    <w:p w:rsidR="003D56A4" w:rsidRPr="00053828" w:rsidRDefault="003D56A4" w:rsidP="003D56A4">
      <w:pPr>
        <w:pStyle w:val="a9"/>
        <w:jc w:val="center"/>
        <w:rPr>
          <w:rStyle w:val="a3"/>
          <w:rFonts w:ascii="Times New Roman" w:hAnsi="Times New Roman" w:cs="Times New Roman"/>
          <w:b/>
          <w:sz w:val="22"/>
        </w:rPr>
      </w:pPr>
    </w:p>
    <w:p w:rsidR="003D56A4" w:rsidRPr="002328D8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>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3D56A4" w:rsidRPr="002328D8" w:rsidRDefault="003D56A4" w:rsidP="003D56A4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3D56A4" w:rsidRPr="00053828" w:rsidRDefault="003D56A4" w:rsidP="003D56A4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Транспортные средства и дополнительное оборудование при перевозках опасных грузов класса 1</w:t>
      </w:r>
    </w:p>
    <w:p w:rsidR="003D56A4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(тахографы, бортовые устройства ГЛОНАСС и другие приборы). Противопожарное оборудование транспортных средств, предназначенных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для перевозки грузов класса 1.</w:t>
      </w:r>
    </w:p>
    <w:p w:rsidR="003D56A4" w:rsidRPr="002328D8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E155D9" w:rsidRDefault="003D56A4" w:rsidP="003D56A4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t>Специальные требования, предъявляемые к совместной погрузке веществ и изделий</w:t>
      </w:r>
    </w:p>
    <w:p w:rsidR="003D56A4" w:rsidRPr="00053828" w:rsidRDefault="003D56A4" w:rsidP="003D56A4">
      <w:pPr>
        <w:pStyle w:val="1"/>
        <w:rPr>
          <w:rStyle w:val="a3"/>
          <w:rFonts w:ascii="Times New Roman" w:hAnsi="Times New Roman" w:cs="Times New Roman"/>
          <w:sz w:val="24"/>
          <w:u w:val="none"/>
        </w:rPr>
      </w:pPr>
      <w:r w:rsidRPr="002328D8">
        <w:rPr>
          <w:rFonts w:ascii="Times New Roman" w:hAnsi="Times New Roman" w:cs="Times New Roman"/>
          <w:u w:val="none"/>
        </w:rPr>
        <w:t xml:space="preserve"> класса 1.</w:t>
      </w:r>
      <w:r>
        <w:rPr>
          <w:rFonts w:ascii="Times New Roman" w:hAnsi="Times New Roman" w:cs="Times New Roman"/>
          <w:u w:val="none"/>
        </w:rPr>
        <w:t xml:space="preserve"> </w:t>
      </w:r>
      <w:r w:rsidR="00E155D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Превентивные меры безопасности</w:t>
      </w:r>
    </w:p>
    <w:p w:rsidR="000247C7" w:rsidRPr="00053828" w:rsidRDefault="003D56A4" w:rsidP="000247C7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247C7" w:rsidRPr="000247C7">
        <w:rPr>
          <w:rStyle w:val="a3"/>
          <w:rFonts w:ascii="Times New Roman" w:hAnsi="Times New Roman" w:cs="Times New Roman"/>
          <w:sz w:val="24"/>
          <w:szCs w:val="24"/>
        </w:rPr>
        <w:t>Требования к движению транспортных средств в составе колонны при перевозке веществ и изделий класса 1 и требования к местам стоянки таких транспортных средств. Требования к погрузочно-разгрузочным работам, размещения и крепления при перевозке веществ и изделий класса 1, требования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247C7" w:rsidRPr="000247C7">
        <w:rPr>
          <w:rStyle w:val="a3"/>
          <w:rFonts w:ascii="Times New Roman" w:hAnsi="Times New Roman" w:cs="Times New Roman"/>
          <w:sz w:val="24"/>
          <w:szCs w:val="24"/>
        </w:rPr>
        <w:t>к местам погрузки и разгрузки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D56A4" w:rsidRPr="00053828" w:rsidRDefault="003D56A4" w:rsidP="003D56A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Особенности превентивных мер безопасности при перевозках веществ и изделий класса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1.</w:t>
      </w:r>
    </w:p>
    <w:p w:rsidR="000247C7" w:rsidRDefault="000247C7" w:rsidP="003D56A4">
      <w:pPr>
        <w:pStyle w:val="1"/>
        <w:rPr>
          <w:rFonts w:ascii="Times New Roman" w:hAnsi="Times New Roman" w:cs="Times New Roman"/>
          <w:u w:val="none"/>
        </w:rPr>
      </w:pPr>
    </w:p>
    <w:p w:rsidR="003D56A4" w:rsidRPr="00053828" w:rsidRDefault="003D56A4" w:rsidP="003D56A4">
      <w:pPr>
        <w:pStyle w:val="1"/>
        <w:rPr>
          <w:rStyle w:val="a3"/>
          <w:rFonts w:ascii="Times New Roman" w:hAnsi="Times New Roman" w:cs="Times New Roman"/>
          <w:sz w:val="24"/>
          <w:u w:val="none"/>
        </w:rPr>
      </w:pPr>
      <w:r w:rsidRPr="002328D8">
        <w:rPr>
          <w:rFonts w:ascii="Times New Roman" w:hAnsi="Times New Roman" w:cs="Times New Roman"/>
          <w:u w:val="none"/>
        </w:rPr>
        <w:t>Организация перевозок опасных грузов класса 1. Ограничения и особые требования</w:t>
      </w:r>
    </w:p>
    <w:p w:rsidR="003D56A4" w:rsidRPr="00053828" w:rsidRDefault="003D56A4" w:rsidP="000247C7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>занности водителя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D56A4" w:rsidRPr="00053828" w:rsidRDefault="003D56A4" w:rsidP="000247C7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3D56A4" w:rsidRDefault="003D56A4" w:rsidP="003D56A4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E155D9" w:rsidRPr="00053828" w:rsidRDefault="00E155D9" w:rsidP="003D56A4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3D56A4" w:rsidRPr="00053828" w:rsidRDefault="003D56A4" w:rsidP="003D56A4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Меры по ликвидации последствий аварий при перевозках опасных грузов класса</w:t>
      </w:r>
      <w:r w:rsidR="0050409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04099" w:rsidRPr="00504099" w:rsidRDefault="003D56A4" w:rsidP="0050409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ab/>
      </w:r>
      <w:r w:rsidR="00504099" w:rsidRPr="00504099">
        <w:rPr>
          <w:rStyle w:val="a3"/>
          <w:rFonts w:ascii="Times New Roman" w:hAnsi="Times New Roman" w:cs="Times New Roman"/>
          <w:sz w:val="24"/>
          <w:szCs w:val="24"/>
        </w:rPr>
        <w:t>Основные причины аварий при перевозках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 Оказание первой помощи пострадавшим при аварии с веществами и изделиями класса 1.</w:t>
      </w:r>
    </w:p>
    <w:p w:rsidR="00E155D9" w:rsidRDefault="00504099" w:rsidP="0050409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</w:p>
    <w:p w:rsidR="00E155D9" w:rsidRDefault="00E155D9" w:rsidP="0050409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504099" w:rsidRPr="00504099" w:rsidRDefault="00E155D9" w:rsidP="0050409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</w:r>
      <w:r w:rsidR="00504099" w:rsidRPr="00504099">
        <w:rPr>
          <w:rStyle w:val="a3"/>
          <w:rFonts w:ascii="Times New Roman" w:hAnsi="Times New Roman" w:cs="Times New Roman"/>
          <w:sz w:val="24"/>
          <w:szCs w:val="24"/>
        </w:rPr>
        <w:t>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504099" w:rsidRPr="00504099" w:rsidRDefault="00504099" w:rsidP="0050409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504099">
        <w:rPr>
          <w:rStyle w:val="a3"/>
          <w:rFonts w:ascii="Times New Roman" w:hAnsi="Times New Roman" w:cs="Times New Roman"/>
          <w:sz w:val="24"/>
          <w:szCs w:val="24"/>
        </w:rPr>
        <w:t>Практическое занятие, направленное на отработку навыков водителя по использованию системы ЭРА-ГЛОНАСС в аварийной ситуации с учетом перевозок опасных грузов класса 1.</w:t>
      </w:r>
    </w:p>
    <w:p w:rsidR="00E155D9" w:rsidRDefault="00E155D9" w:rsidP="003D56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C7" w:rsidRDefault="003D56A4" w:rsidP="003D56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E155D9" w:rsidRDefault="00E155D9" w:rsidP="003D56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A4" w:rsidRPr="000247C7" w:rsidRDefault="003D56A4" w:rsidP="000247C7">
      <w:pPr>
        <w:pStyle w:val="a9"/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</w:pPr>
      <w:r w:rsidRPr="000247C7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освоения </w:t>
      </w:r>
      <w:r w:rsidR="000247C7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образовательной п</w:t>
      </w:r>
      <w:r w:rsidRPr="000247C7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рограммы обучающийся должен знать:</w:t>
      </w:r>
    </w:p>
    <w:p w:rsidR="003D56A4" w:rsidRPr="00053828" w:rsidRDefault="000247C7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-</w:t>
      </w:r>
      <w:r w:rsidR="003D56A4" w:rsidRPr="00053828">
        <w:rPr>
          <w:rStyle w:val="a3"/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виды опасности, характерные веществам и изделиям класса 1;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3D56A4" w:rsidRPr="00053828" w:rsidRDefault="000247C7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- </w:t>
      </w:r>
      <w:r w:rsidR="003D56A4" w:rsidRPr="00053828">
        <w:rPr>
          <w:rStyle w:val="a3"/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требования движения транспортных средств в составе колонны при перевозке веществ и изделий класса 1 и требования к местам стоянки таких транспортных средств;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ограничения на проезд транспортного средства, перевозящего вещества и изделия класса 1, через тоннели;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веществ и изделий класса 1;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0247C7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веществ и изделий класса 1.</w:t>
      </w:r>
    </w:p>
    <w:p w:rsidR="003D56A4" w:rsidRPr="000247C7" w:rsidRDefault="000247C7" w:rsidP="000247C7">
      <w:pPr>
        <w:pStyle w:val="a9"/>
        <w:jc w:val="both"/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</w:pPr>
      <w:r w:rsidRPr="000247C7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освоения </w:t>
      </w:r>
      <w:r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образовательной п</w:t>
      </w:r>
      <w:r w:rsidRPr="000247C7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рограммы обучающийся должен </w:t>
      </w:r>
      <w:r w:rsidR="003D56A4" w:rsidRPr="000247C7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3D56A4" w:rsidRPr="00053828" w:rsidRDefault="003D56A4" w:rsidP="000247C7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3D56A4" w:rsidRPr="00053828" w:rsidRDefault="003D56A4" w:rsidP="000247C7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0247C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веществами и изделиями класса 1.</w:t>
      </w:r>
    </w:p>
    <w:p w:rsidR="00F6323C" w:rsidRPr="008A4219" w:rsidRDefault="00F6323C" w:rsidP="008A4219">
      <w:pPr>
        <w:pStyle w:val="a9"/>
      </w:pPr>
    </w:p>
    <w:p w:rsid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155D9" w:rsidRPr="00810B0B" w:rsidRDefault="00E155D9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Условия реализации обеспечива</w:t>
      </w:r>
      <w:r>
        <w:rPr>
          <w:rStyle w:val="a3"/>
          <w:rFonts w:ascii="Times New Roman" w:hAnsi="Times New Roman" w:cs="Times New Roman"/>
          <w:sz w:val="24"/>
          <w:szCs w:val="24"/>
        </w:rPr>
        <w:t>ют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</w:t>
      </w:r>
      <w:r>
        <w:rPr>
          <w:rStyle w:val="a3"/>
          <w:rFonts w:ascii="Times New Roman" w:hAnsi="Times New Roman" w:cs="Times New Roman"/>
          <w:sz w:val="24"/>
          <w:szCs w:val="24"/>
        </w:rPr>
        <w:t>оения Программы в полном объеме,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соответствие применяемых форм, средств и методов обучения с учетом особенностей перевозок опасных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Теоретическое обучение проводиться в оборудованных учебных аудиториях, отвечающих материально-техническим и информационно</w:t>
      </w:r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методическим требованиям.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</w:t>
      </w:r>
      <w:r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один академический час (45 минут).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Время, отводимое </w:t>
      </w:r>
      <w:r>
        <w:rPr>
          <w:rStyle w:val="a3"/>
          <w:rFonts w:ascii="Times New Roman" w:hAnsi="Times New Roman" w:cs="Times New Roman"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рограммой, на проведение практических занятий по вопросам оказания первой помощи, тушения пожара и иных действий, согласно письменным инструкциям, предусмотренным ДОПОГ, выделяется в объеме, предусмотренном программой, из расчета один академический час на пять обучающихся.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Педагогическую деятельность осуществля</w:t>
      </w:r>
      <w:r>
        <w:rPr>
          <w:rStyle w:val="a3"/>
          <w:rFonts w:ascii="Times New Roman" w:hAnsi="Times New Roman" w:cs="Times New Roman"/>
          <w:sz w:val="24"/>
          <w:szCs w:val="24"/>
        </w:rPr>
        <w:t>ю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т лица, имеющие среднее профессиональное или высшее образование и отвечающие квалификационным требованиям, указанным </w:t>
      </w:r>
      <w:r>
        <w:rPr>
          <w:rStyle w:val="a3"/>
          <w:rFonts w:ascii="Times New Roman" w:hAnsi="Times New Roman" w:cs="Times New Roman"/>
          <w:sz w:val="24"/>
          <w:szCs w:val="24"/>
        </w:rPr>
        <w:t>в квалификационных справочниках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№ 257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 </w:t>
      </w:r>
      <w:r w:rsidRPr="00810B0B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117DD" w:rsidRDefault="00D117DD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Default="00810B0B" w:rsidP="00EB23A3">
      <w:pPr>
        <w:pStyle w:val="a9"/>
        <w:ind w:firstLine="142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Материально-технические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</w:t>
      </w:r>
      <w:r w:rsidR="00EB23A3">
        <w:rPr>
          <w:rStyle w:val="a3"/>
          <w:rFonts w:ascii="Times New Roman" w:hAnsi="Times New Roman" w:cs="Times New Roman"/>
          <w:b/>
          <w:sz w:val="24"/>
          <w:szCs w:val="24"/>
        </w:rPr>
        <w:t>граммы</w:t>
      </w:r>
    </w:p>
    <w:p w:rsidR="00EB23A3" w:rsidRDefault="00EB23A3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Default="00EB23A3" w:rsidP="00EB23A3">
      <w:pPr>
        <w:pStyle w:val="a9"/>
        <w:jc w:val="right"/>
        <w:rPr>
          <w:rStyle w:val="a3"/>
          <w:rFonts w:ascii="Times New Roman" w:hAnsi="Times New Roman" w:cs="Times New Roman"/>
          <w:b/>
          <w:i/>
          <w:sz w:val="24"/>
          <w:szCs w:val="24"/>
        </w:rPr>
      </w:pPr>
      <w:r w:rsidRPr="00EB23A3">
        <w:rPr>
          <w:rStyle w:val="a3"/>
          <w:rFonts w:ascii="Times New Roman" w:hAnsi="Times New Roman" w:cs="Times New Roman"/>
          <w:b/>
          <w:i/>
          <w:sz w:val="24"/>
          <w:szCs w:val="24"/>
        </w:rPr>
        <w:t>Таблица 3</w:t>
      </w:r>
    </w:p>
    <w:p w:rsidR="00E155D9" w:rsidRPr="00EB23A3" w:rsidRDefault="00E155D9" w:rsidP="00EB23A3">
      <w:pPr>
        <w:pStyle w:val="a9"/>
        <w:jc w:val="right"/>
        <w:rPr>
          <w:rStyle w:val="a3"/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86" w:type="dxa"/>
        <w:tblInd w:w="77" w:type="dxa"/>
        <w:tblCellMar>
          <w:top w:w="39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4135"/>
        <w:gridCol w:w="3840"/>
        <w:gridCol w:w="11"/>
      </w:tblGrid>
      <w:tr w:rsidR="00810B0B" w:rsidRPr="00810B0B" w:rsidTr="00810B0B">
        <w:trPr>
          <w:gridAfter w:val="1"/>
          <w:wAfter w:w="11" w:type="dxa"/>
          <w:trHeight w:val="33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EB23A3">
            <w:pPr>
              <w:spacing w:after="0" w:line="259" w:lineRule="auto"/>
              <w:ind w:firstLine="21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10B0B" w:rsidRPr="00810B0B" w:rsidTr="00B93659">
        <w:trPr>
          <w:gridAfter w:val="1"/>
          <w:wAfter w:w="11" w:type="dxa"/>
          <w:trHeight w:val="295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10B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B0B">
              <w:rPr>
                <w:rFonts w:ascii="Times New Roman" w:hAnsi="Times New Roman" w:cs="Times New Roman"/>
                <w:b/>
              </w:rPr>
              <w:t>Обор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10B0B">
              <w:rPr>
                <w:rFonts w:ascii="Times New Roman" w:hAnsi="Times New Roman" w:cs="Times New Roman"/>
                <w:b/>
              </w:rPr>
              <w:t>дование и технические средства обучения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Компьюте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Мультимедийной пр</w:t>
            </w:r>
            <w:r w:rsidRPr="00810B0B">
              <w:rPr>
                <w:rFonts w:ascii="Times New Roman" w:hAnsi="Times New Roman" w:cs="Times New Roman"/>
              </w:rPr>
              <w:t>оекто</w:t>
            </w:r>
            <w:r>
              <w:rPr>
                <w:rFonts w:ascii="Times New Roman" w:hAnsi="Times New Roman" w:cs="Times New Roman"/>
              </w:rPr>
              <w:t>р</w:t>
            </w:r>
            <w:r w:rsidRPr="00810B0B">
              <w:rPr>
                <w:rFonts w:ascii="Times New Roman" w:hAnsi="Times New Roman" w:cs="Times New Roman"/>
              </w:rPr>
              <w:t xml:space="preserve"> или телевизор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C94029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 xml:space="preserve">отработки </w:t>
            </w:r>
            <w:r w:rsidRPr="00C94029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8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9C58E1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>отработки</w:t>
            </w:r>
            <w:r w:rsidR="00EB23A3">
              <w:rPr>
                <w:rFonts w:ascii="Times New Roman" w:hAnsi="Times New Roman" w:cs="Times New Roman"/>
              </w:rPr>
              <w:t xml:space="preserve"> </w:t>
            </w:r>
            <w:r w:rsidR="00810B0B" w:rsidRPr="00810B0B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549" w:hanging="226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 xml:space="preserve">1 комплект (достаточный для обучения одной </w:t>
            </w:r>
            <w:r w:rsidR="00C94029">
              <w:rPr>
                <w:rFonts w:ascii="Times New Roman" w:hAnsi="Times New Roman" w:cs="Times New Roman"/>
              </w:rPr>
              <w:t>гр</w:t>
            </w:r>
            <w:r w:rsidRPr="00810B0B">
              <w:rPr>
                <w:rFonts w:ascii="Times New Roman" w:hAnsi="Times New Roman" w:cs="Times New Roman"/>
              </w:rPr>
              <w:t>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Default="00810B0B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  <w:p w:rsidR="00E155D9" w:rsidRPr="00810B0B" w:rsidRDefault="00E155D9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0B" w:rsidRPr="00810B0B" w:rsidTr="00810B0B">
        <w:trPr>
          <w:gridAfter w:val="1"/>
          <w:wAfter w:w="11" w:type="dxa"/>
          <w:trHeight w:val="56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Default="00810B0B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  <w:p w:rsidR="00E155D9" w:rsidRPr="00810B0B" w:rsidRDefault="00E155D9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29" w:rsidRPr="00810B0B" w:rsidTr="009E5B86">
        <w:trPr>
          <w:gridAfter w:val="1"/>
          <w:wAfter w:w="11" w:type="dxa"/>
          <w:trHeight w:val="288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Pr="00C94029" w:rsidRDefault="00C94029" w:rsidP="00C9402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</w:tc>
      </w:tr>
      <w:tr w:rsidR="00810B0B" w:rsidRPr="00810B0B" w:rsidTr="00C94029">
        <w:trPr>
          <w:gridAfter w:val="1"/>
          <w:wAfter w:w="11" w:type="dxa"/>
          <w:trHeight w:val="81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Default="00810B0B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Учебно-методические пособия, содержащие материалы дл</w:t>
            </w:r>
            <w:r w:rsidR="00C94029">
              <w:rPr>
                <w:rFonts w:ascii="Times New Roman" w:hAnsi="Times New Roman" w:cs="Times New Roman"/>
              </w:rPr>
              <w:t>я обучения по разделам, указанным</w:t>
            </w:r>
            <w:r w:rsidRPr="00810B0B">
              <w:rPr>
                <w:rFonts w:ascii="Times New Roman" w:hAnsi="Times New Roman" w:cs="Times New Roman"/>
              </w:rPr>
              <w:t xml:space="preserve"> в Типовой программе. </w:t>
            </w:r>
          </w:p>
          <w:p w:rsidR="00810B0B" w:rsidRPr="00810B0B" w:rsidRDefault="00C94029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="00810B0B" w:rsidRPr="00C94029">
              <w:rPr>
                <w:rFonts w:ascii="Times New Roman" w:hAnsi="Times New Roman" w:cs="Times New Roman"/>
                <w:i/>
              </w:rPr>
              <w:t xml:space="preserve">огут быть представлены в виде печатных изданий, плакатов, </w:t>
            </w:r>
            <w:r w:rsidR="00810B0B" w:rsidRPr="00C94029">
              <w:rPr>
                <w:rFonts w:ascii="Times New Roman" w:hAnsi="Times New Roman" w:cs="Times New Roman"/>
                <w:i/>
              </w:rPr>
              <w:lastRenderedPageBreak/>
              <w:t>электронных учебных материалов, тематических</w:t>
            </w:r>
            <w:r w:rsidRPr="00C94029">
              <w:rPr>
                <w:rFonts w:ascii="Times New Roman" w:hAnsi="Times New Roman" w:cs="Times New Roman"/>
                <w:i/>
              </w:rPr>
              <w:t xml:space="preserve"> фильмов, пр</w:t>
            </w:r>
            <w:r w:rsidR="00810B0B" w:rsidRPr="00C94029">
              <w:rPr>
                <w:rFonts w:ascii="Times New Roman" w:hAnsi="Times New Roman" w:cs="Times New Roman"/>
                <w:i/>
              </w:rPr>
              <w:t>езентаций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lastRenderedPageBreak/>
              <w:t>1 комплект (достаточный для обучения одной группы)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9C58E1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А и Пр</w:t>
            </w:r>
            <w:r w:rsidR="00810B0B" w:rsidRPr="00810B0B">
              <w:rPr>
                <w:rFonts w:ascii="Times New Roman" w:hAnsi="Times New Roman" w:cs="Times New Roman"/>
              </w:rPr>
              <w:t>иложение В к ДОПОГ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810B0B" w:rsidRPr="00810B0B" w:rsidTr="00C94029">
        <w:trPr>
          <w:trHeight w:val="499"/>
        </w:trPr>
        <w:tc>
          <w:tcPr>
            <w:tcW w:w="7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C94029" w:rsidRDefault="00810B0B" w:rsidP="00C94029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t>Ин</w:t>
            </w:r>
            <w:r w:rsidR="00C94029" w:rsidRPr="00C94029">
              <w:rPr>
                <w:rFonts w:ascii="Times New Roman" w:hAnsi="Times New Roman" w:cs="Times New Roman"/>
                <w:b/>
              </w:rPr>
              <w:t>ф</w:t>
            </w:r>
            <w:r w:rsidRPr="00C94029">
              <w:rPr>
                <w:rFonts w:ascii="Times New Roman" w:hAnsi="Times New Roman" w:cs="Times New Roman"/>
                <w:b/>
              </w:rPr>
              <w:t>о</w:t>
            </w:r>
            <w:r w:rsidR="00C94029" w:rsidRPr="00C94029">
              <w:rPr>
                <w:rFonts w:ascii="Times New Roman" w:hAnsi="Times New Roman" w:cs="Times New Roman"/>
                <w:b/>
              </w:rPr>
              <w:t>р</w:t>
            </w:r>
            <w:r w:rsidRPr="00C94029">
              <w:rPr>
                <w:rFonts w:ascii="Times New Roman" w:hAnsi="Times New Roman" w:cs="Times New Roman"/>
                <w:b/>
              </w:rPr>
              <w:t>мационны</w:t>
            </w:r>
            <w:r w:rsidR="00C94029">
              <w:rPr>
                <w:rFonts w:ascii="Times New Roman" w:hAnsi="Times New Roman" w:cs="Times New Roman"/>
                <w:b/>
              </w:rPr>
              <w:t>й</w:t>
            </w:r>
            <w:r w:rsidRPr="00C94029">
              <w:rPr>
                <w:rFonts w:ascii="Times New Roman" w:hAnsi="Times New Roman" w:cs="Times New Roman"/>
                <w:b/>
              </w:rPr>
              <w:t xml:space="preserve"> стенд</w:t>
            </w:r>
          </w:p>
        </w:tc>
      </w:tr>
      <w:tr w:rsidR="00810B0B" w:rsidRPr="00810B0B" w:rsidTr="00810B0B">
        <w:trPr>
          <w:gridAfter w:val="1"/>
          <w:wAfter w:w="11" w:type="dxa"/>
          <w:trHeight w:val="98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0" w:firstLine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Копия лицензии на осуществление образовательной деятельности либо выписка из реестра лицензий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9C58E1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</w:t>
            </w:r>
            <w:r w:rsidR="00810B0B" w:rsidRPr="00810B0B">
              <w:rPr>
                <w:rFonts w:ascii="Times New Roman" w:hAnsi="Times New Roman" w:cs="Times New Roman"/>
              </w:rPr>
              <w:t>ессионального обучения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6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Адрес официального сайта в информационно телекоммуникационной сети «Интернет»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Default="00810B0B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 xml:space="preserve">Система оценки результатов освоения </w:t>
      </w:r>
      <w:r w:rsidR="00C94029"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C94029" w:rsidRP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Текущий контроль успеваемости и промежуточной (оценки) обучающихся, установление форм оценки,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810B0B" w:rsidRPr="00C94029" w:rsidRDefault="00810B0B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94029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15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02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94029">
        <w:rPr>
          <w:rStyle w:val="a3"/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</w:t>
      </w:r>
      <w:r>
        <w:rPr>
          <w:rStyle w:val="a3"/>
          <w:rFonts w:ascii="Times New Roman" w:hAnsi="Times New Roman" w:cs="Times New Roman"/>
          <w:sz w:val="24"/>
          <w:szCs w:val="24"/>
        </w:rPr>
        <w:t>енных</w:t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руководителем организации, осуществляющей образовательную деятельность.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Результаты сдачи квалификационного экзамена оформляются протоколом.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</w:t>
      </w:r>
      <w:r w:rsidR="00810B0B" w:rsidRPr="00EB23A3">
        <w:rPr>
          <w:rStyle w:val="a3"/>
          <w:rFonts w:ascii="Times New Roman" w:hAnsi="Times New Roman" w:cs="Times New Roman"/>
          <w:sz w:val="24"/>
          <w:szCs w:val="24"/>
        </w:rPr>
        <w:t>образец</w:t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которого самостоятельно устанавливается организацией, осуществляющей образовательную деятельност</w:t>
      </w:r>
      <w:r>
        <w:rPr>
          <w:rStyle w:val="a3"/>
          <w:rFonts w:ascii="Times New Roman" w:hAnsi="Times New Roman" w:cs="Times New Roman"/>
          <w:sz w:val="24"/>
          <w:szCs w:val="24"/>
        </w:rPr>
        <w:t>ь.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обучающимся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D117DD" w:rsidRDefault="00D117DD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247C7" w:rsidRDefault="000247C7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247C7" w:rsidRDefault="000247C7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247C7" w:rsidRDefault="000247C7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247C7" w:rsidRDefault="000247C7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C63BF" w:rsidRPr="008C63BF" w:rsidRDefault="008C63BF" w:rsidP="008C63BF">
      <w:pPr>
        <w:tabs>
          <w:tab w:val="left" w:pos="252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sectPr w:rsidR="008C63BF" w:rsidRPr="008C63BF" w:rsidSect="00504099">
      <w:footerReference w:type="default" r:id="rId10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F0" w:rsidRDefault="007B32F0" w:rsidP="00E97459">
      <w:pPr>
        <w:spacing w:after="0" w:line="240" w:lineRule="auto"/>
      </w:pPr>
      <w:r>
        <w:separator/>
      </w:r>
    </w:p>
  </w:endnote>
  <w:endnote w:type="continuationSeparator" w:id="0">
    <w:p w:rsidR="007B32F0" w:rsidRDefault="007B32F0" w:rsidP="00E9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116173"/>
      <w:docPartObj>
        <w:docPartGallery w:val="Page Numbers (Bottom of Page)"/>
        <w:docPartUnique/>
      </w:docPartObj>
    </w:sdtPr>
    <w:sdtEndPr/>
    <w:sdtContent>
      <w:p w:rsidR="00321271" w:rsidRDefault="003212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D9">
          <w:rPr>
            <w:noProof/>
          </w:rPr>
          <w:t>6</w:t>
        </w:r>
        <w:r>
          <w:fldChar w:fldCharType="end"/>
        </w:r>
      </w:p>
    </w:sdtContent>
  </w:sdt>
  <w:p w:rsidR="00321271" w:rsidRDefault="003212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F0" w:rsidRDefault="007B32F0" w:rsidP="00E97459">
      <w:pPr>
        <w:spacing w:after="0" w:line="240" w:lineRule="auto"/>
      </w:pPr>
      <w:r>
        <w:separator/>
      </w:r>
    </w:p>
  </w:footnote>
  <w:footnote w:type="continuationSeparator" w:id="0">
    <w:p w:rsidR="007B32F0" w:rsidRDefault="007B32F0" w:rsidP="00E9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4"/>
    <w:multiLevelType w:val="multilevel"/>
    <w:tmpl w:val="927282A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3BB5"/>
    <w:multiLevelType w:val="multilevel"/>
    <w:tmpl w:val="B13CF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69500FD"/>
    <w:multiLevelType w:val="hybridMultilevel"/>
    <w:tmpl w:val="CF9AFD7A"/>
    <w:lvl w:ilvl="0" w:tplc="A58A0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0EA7"/>
    <w:multiLevelType w:val="multilevel"/>
    <w:tmpl w:val="37D09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C"/>
    <w:rsid w:val="00003564"/>
    <w:rsid w:val="000247C7"/>
    <w:rsid w:val="00053828"/>
    <w:rsid w:val="000900B8"/>
    <w:rsid w:val="000A684F"/>
    <w:rsid w:val="00186EE1"/>
    <w:rsid w:val="001A109A"/>
    <w:rsid w:val="001D3F9F"/>
    <w:rsid w:val="00200F6E"/>
    <w:rsid w:val="00221FB9"/>
    <w:rsid w:val="002328D8"/>
    <w:rsid w:val="00271E58"/>
    <w:rsid w:val="00281F32"/>
    <w:rsid w:val="002C58BD"/>
    <w:rsid w:val="00321271"/>
    <w:rsid w:val="00361285"/>
    <w:rsid w:val="0036254F"/>
    <w:rsid w:val="00385160"/>
    <w:rsid w:val="003D56A4"/>
    <w:rsid w:val="004016A5"/>
    <w:rsid w:val="004448C2"/>
    <w:rsid w:val="004736F8"/>
    <w:rsid w:val="00475825"/>
    <w:rsid w:val="004C5043"/>
    <w:rsid w:val="004D22DD"/>
    <w:rsid w:val="00504099"/>
    <w:rsid w:val="005755FB"/>
    <w:rsid w:val="005B2888"/>
    <w:rsid w:val="005D083D"/>
    <w:rsid w:val="00604926"/>
    <w:rsid w:val="00623760"/>
    <w:rsid w:val="006531A8"/>
    <w:rsid w:val="00661008"/>
    <w:rsid w:val="006737FC"/>
    <w:rsid w:val="006832B1"/>
    <w:rsid w:val="0069448C"/>
    <w:rsid w:val="006B1CEA"/>
    <w:rsid w:val="006B7FC5"/>
    <w:rsid w:val="00707405"/>
    <w:rsid w:val="007A5051"/>
    <w:rsid w:val="007B32F0"/>
    <w:rsid w:val="007C0B8C"/>
    <w:rsid w:val="007C4883"/>
    <w:rsid w:val="00810B0B"/>
    <w:rsid w:val="00852C0E"/>
    <w:rsid w:val="00857942"/>
    <w:rsid w:val="00883A0C"/>
    <w:rsid w:val="00883E8B"/>
    <w:rsid w:val="008A4219"/>
    <w:rsid w:val="008C63BF"/>
    <w:rsid w:val="008F5640"/>
    <w:rsid w:val="00945092"/>
    <w:rsid w:val="0094594D"/>
    <w:rsid w:val="00963E26"/>
    <w:rsid w:val="009C1E8D"/>
    <w:rsid w:val="009C37EE"/>
    <w:rsid w:val="00A025AA"/>
    <w:rsid w:val="00AA7839"/>
    <w:rsid w:val="00AE2886"/>
    <w:rsid w:val="00B0198A"/>
    <w:rsid w:val="00B369B8"/>
    <w:rsid w:val="00B461C1"/>
    <w:rsid w:val="00B72217"/>
    <w:rsid w:val="00BB614C"/>
    <w:rsid w:val="00C11D96"/>
    <w:rsid w:val="00C54B4C"/>
    <w:rsid w:val="00C94029"/>
    <w:rsid w:val="00CD7D42"/>
    <w:rsid w:val="00D117DD"/>
    <w:rsid w:val="00D17FDF"/>
    <w:rsid w:val="00D27297"/>
    <w:rsid w:val="00D817F1"/>
    <w:rsid w:val="00D86716"/>
    <w:rsid w:val="00DD0CA2"/>
    <w:rsid w:val="00DD6473"/>
    <w:rsid w:val="00E155D9"/>
    <w:rsid w:val="00E208A9"/>
    <w:rsid w:val="00E31454"/>
    <w:rsid w:val="00E71C93"/>
    <w:rsid w:val="00E878A9"/>
    <w:rsid w:val="00E97459"/>
    <w:rsid w:val="00EB23A3"/>
    <w:rsid w:val="00F6323C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F394"/>
  <w15:docId w15:val="{4EC6C499-4335-4F02-BE86-D48A659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B4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4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uiPriority w:val="99"/>
    <w:rsid w:val="00C54B4C"/>
    <w:rPr>
      <w:sz w:val="20"/>
    </w:rPr>
  </w:style>
  <w:style w:type="paragraph" w:customStyle="1" w:styleId="a4">
    <w:name w:val="Нормальный (таблица)"/>
    <w:basedOn w:val="a"/>
    <w:next w:val="a"/>
    <w:uiPriority w:val="99"/>
    <w:rsid w:val="00F63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4"/>
    <w:next w:val="a"/>
    <w:uiPriority w:val="99"/>
    <w:rsid w:val="00F6323C"/>
    <w:pPr>
      <w:jc w:val="center"/>
    </w:pPr>
  </w:style>
  <w:style w:type="paragraph" w:styleId="a6">
    <w:name w:val="List Paragraph"/>
    <w:basedOn w:val="a"/>
    <w:uiPriority w:val="34"/>
    <w:qFormat/>
    <w:rsid w:val="00F632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9B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28D8"/>
    <w:pPr>
      <w:spacing w:after="0" w:line="240" w:lineRule="auto"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97459"/>
    <w:pPr>
      <w:spacing w:after="0" w:line="264" w:lineRule="auto"/>
      <w:ind w:left="134" w:right="10" w:firstLine="36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9745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E97459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styleId="aa">
    <w:name w:val="Table Grid"/>
    <w:basedOn w:val="a1"/>
    <w:uiPriority w:val="59"/>
    <w:rsid w:val="000247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127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2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12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6DDA-857D-4970-94F5-EE33E964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Башленко</dc:creator>
  <cp:lastModifiedBy>Пользователь</cp:lastModifiedBy>
  <cp:revision>25</cp:revision>
  <cp:lastPrinted>2017-04-07T10:20:00Z</cp:lastPrinted>
  <dcterms:created xsi:type="dcterms:W3CDTF">2017-04-06T09:13:00Z</dcterms:created>
  <dcterms:modified xsi:type="dcterms:W3CDTF">2022-08-31T06:17:00Z</dcterms:modified>
</cp:coreProperties>
</file>