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17" w:rsidRPr="00C2542E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42E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«Перекресток»</w:t>
      </w:r>
    </w:p>
    <w:p w:rsidR="00B72217" w:rsidRPr="00C2542E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42E">
        <w:rPr>
          <w:rFonts w:ascii="Times New Roman" w:eastAsia="Times New Roman" w:hAnsi="Times New Roman" w:cs="Times New Roman"/>
          <w:sz w:val="28"/>
          <w:szCs w:val="28"/>
        </w:rPr>
        <w:t>ООО «Перекресток»</w:t>
      </w:r>
    </w:p>
    <w:p w:rsidR="00B72217" w:rsidRPr="00003564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564" w:rsidRDefault="00003564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065" w:rsidRDefault="003D3065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065" w:rsidTr="001B2C6B">
        <w:tc>
          <w:tcPr>
            <w:tcW w:w="4785" w:type="dxa"/>
          </w:tcPr>
          <w:p w:rsidR="003D3065" w:rsidRDefault="003D3065" w:rsidP="003D3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D3065" w:rsidRPr="003D3065" w:rsidRDefault="003D3065" w:rsidP="003D3065">
            <w:pPr>
              <w:rPr>
                <w:rFonts w:ascii="Times New Roman" w:hAnsi="Times New Roman"/>
                <w:sz w:val="24"/>
                <w:szCs w:val="24"/>
              </w:rPr>
            </w:pPr>
            <w:r w:rsidRPr="003D3065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  <w:p w:rsidR="003D3065" w:rsidRPr="003D3065" w:rsidRDefault="003D3065" w:rsidP="003D3065">
            <w:pPr>
              <w:rPr>
                <w:rFonts w:ascii="Times New Roman" w:hAnsi="Times New Roman"/>
                <w:sz w:val="24"/>
                <w:szCs w:val="24"/>
              </w:rPr>
            </w:pPr>
            <w:r w:rsidRPr="003D3065">
              <w:rPr>
                <w:rFonts w:ascii="Times New Roman" w:hAnsi="Times New Roman"/>
                <w:sz w:val="24"/>
                <w:szCs w:val="24"/>
              </w:rPr>
              <w:t xml:space="preserve">Западно-Сибирского </w:t>
            </w:r>
          </w:p>
          <w:p w:rsidR="003D3065" w:rsidRDefault="003D3065" w:rsidP="003D3065">
            <w:pPr>
              <w:rPr>
                <w:rFonts w:ascii="Times New Roman" w:hAnsi="Times New Roman"/>
                <w:sz w:val="24"/>
                <w:szCs w:val="24"/>
              </w:rPr>
            </w:pPr>
            <w:r w:rsidRPr="003D3065">
              <w:rPr>
                <w:rFonts w:ascii="Times New Roman" w:hAnsi="Times New Roman"/>
                <w:sz w:val="24"/>
                <w:szCs w:val="24"/>
              </w:rPr>
              <w:t xml:space="preserve">межрегионального управления государственного автодорожного надзора Федеральной службы по надзору в сфере транспорта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3D3065">
              <w:rPr>
                <w:rFonts w:ascii="Times New Roman" w:hAnsi="Times New Roman"/>
                <w:sz w:val="24"/>
                <w:szCs w:val="24"/>
              </w:rPr>
              <w:t>Д.А.Петров</w:t>
            </w:r>
          </w:p>
          <w:p w:rsidR="003D3065" w:rsidRDefault="003D3065" w:rsidP="003D3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3065" w:rsidRPr="00003564" w:rsidRDefault="003D3065" w:rsidP="003D3065">
            <w:pPr>
              <w:spacing w:line="276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64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3D3065" w:rsidRPr="00003564" w:rsidRDefault="003D3065" w:rsidP="003D3065">
            <w:pPr>
              <w:spacing w:line="276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64">
              <w:rPr>
                <w:rFonts w:ascii="Times New Roman" w:eastAsia="Times New Roman" w:hAnsi="Times New Roman"/>
                <w:sz w:val="24"/>
                <w:szCs w:val="24"/>
              </w:rPr>
              <w:t>Директор ООО «Перекресток»</w:t>
            </w:r>
          </w:p>
          <w:p w:rsidR="003D3065" w:rsidRDefault="003D3065" w:rsidP="003D3065">
            <w:pPr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003564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Е.Ю.Мусалимов</w:t>
            </w:r>
          </w:p>
          <w:p w:rsidR="003D3065" w:rsidRDefault="003D3065" w:rsidP="003D3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«____»_______________2022 г.</w:t>
            </w:r>
          </w:p>
        </w:tc>
      </w:tr>
    </w:tbl>
    <w:p w:rsidR="003D3065" w:rsidRPr="00003564" w:rsidRDefault="003D3065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564" w:rsidRPr="00003564" w:rsidRDefault="00003564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42E" w:rsidRPr="00003564" w:rsidRDefault="00C2542E" w:rsidP="00C2542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2217" w:rsidRPr="00C6544F" w:rsidRDefault="00B72217" w:rsidP="00C6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C2542E" w:rsidRDefault="002C58BD" w:rsidP="00C2542E">
      <w:pPr>
        <w:spacing w:after="1" w:line="244" w:lineRule="auto"/>
        <w:ind w:left="-284" w:right="370" w:firstLine="1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6544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ОБРАЗОВАТЕЛЬНАЯ </w:t>
      </w:r>
      <w:r w:rsidR="00B72217" w:rsidRPr="00C6544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ПРОГРАММА</w:t>
      </w:r>
      <w:r w:rsidR="00B72217" w:rsidRPr="00C6544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br/>
      </w:r>
      <w:r w:rsidR="00C6544F" w:rsidRPr="00C2542E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профессионального обучения </w:t>
      </w:r>
    </w:p>
    <w:p w:rsidR="00C6544F" w:rsidRPr="00C2542E" w:rsidRDefault="00C6544F" w:rsidP="00C2542E">
      <w:pPr>
        <w:spacing w:after="1" w:line="244" w:lineRule="auto"/>
        <w:ind w:left="-567" w:right="370" w:firstLine="1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2542E">
        <w:rPr>
          <w:rFonts w:ascii="Times New Roman" w:eastAsia="Times New Roman" w:hAnsi="Times New Roman" w:cs="Times New Roman"/>
          <w:bCs/>
          <w:iCs/>
          <w:sz w:val="32"/>
          <w:szCs w:val="32"/>
        </w:rPr>
        <w:t>по программе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</w:t>
      </w:r>
    </w:p>
    <w:p w:rsidR="00C6544F" w:rsidRPr="00C2542E" w:rsidRDefault="00C6544F" w:rsidP="00C2542E">
      <w:pPr>
        <w:spacing w:after="1" w:line="244" w:lineRule="auto"/>
        <w:ind w:left="-284" w:right="370" w:firstLine="1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2542E">
        <w:rPr>
          <w:rFonts w:ascii="Times New Roman" w:eastAsia="Times New Roman" w:hAnsi="Times New Roman" w:cs="Times New Roman"/>
          <w:bCs/>
          <w:iCs/>
          <w:sz w:val="32"/>
          <w:szCs w:val="32"/>
        </w:rPr>
        <w:t>(специализированный курс по перевозке радиоактивных материалов класса 7)</w:t>
      </w:r>
    </w:p>
    <w:p w:rsidR="00B72217" w:rsidRPr="00C6544F" w:rsidRDefault="00B72217" w:rsidP="00C6544F">
      <w:pPr>
        <w:spacing w:after="1" w:line="244" w:lineRule="auto"/>
        <w:ind w:left="283" w:right="370" w:firstLine="196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B72217" w:rsidRPr="00003564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17" w:rsidRPr="00003564" w:rsidRDefault="00B72217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16" w:rsidRDefault="00D86716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FC5" w:rsidRDefault="006B7FC5" w:rsidP="00B72217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F32" w:rsidRDefault="006B7FC5" w:rsidP="002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Омск</w:t>
      </w:r>
    </w:p>
    <w:p w:rsidR="00B72217" w:rsidRPr="002328D8" w:rsidRDefault="006B7FC5" w:rsidP="002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81F32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54B4C" w:rsidRDefault="00C54B4C" w:rsidP="002328D8">
      <w:pPr>
        <w:pStyle w:val="1"/>
        <w:ind w:left="720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lastRenderedPageBreak/>
        <w:t>Общие положения</w:t>
      </w:r>
    </w:p>
    <w:p w:rsidR="002328D8" w:rsidRPr="002328D8" w:rsidRDefault="002328D8" w:rsidP="002328D8">
      <w:pPr>
        <w:pStyle w:val="a9"/>
      </w:pPr>
    </w:p>
    <w:p w:rsidR="007C0B8C" w:rsidRDefault="002328D8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281F32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C58BD">
        <w:rPr>
          <w:rStyle w:val="a3"/>
          <w:rFonts w:ascii="Times New Roman" w:hAnsi="Times New Roman" w:cs="Times New Roman"/>
          <w:sz w:val="24"/>
          <w:szCs w:val="24"/>
        </w:rPr>
        <w:t>Образовательная п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рограмма профессионального обучения по програм</w:t>
      </w:r>
      <w:r w:rsidR="00281F32">
        <w:rPr>
          <w:rStyle w:val="a3"/>
          <w:rFonts w:ascii="Times New Roman" w:hAnsi="Times New Roman" w:cs="Times New Roman"/>
          <w:sz w:val="24"/>
          <w:szCs w:val="24"/>
        </w:rPr>
        <w:t>мам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повышения квалификации водителей, осуществляющих перевозки опасных грузов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>Соглашением о международной дорожной перевозке опасных грузов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и 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разработана в соответствии со статьей 73 Федерального закона от 29 декабря 2012 г. № 273-ФЗ «Об обра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зовании в Российской федерации» (</w:t>
      </w:r>
      <w:r w:rsidR="007C0B8C" w:rsidRPr="007C0B8C">
        <w:rPr>
          <w:rStyle w:val="a3"/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2012, № 53, ст. 7598; 2021, № 22 , ст. 3679)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Минтранса России от 30 июля 2020 г. № 265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 (з</w:t>
      </w:r>
      <w:r w:rsidR="007C0B8C" w:rsidRPr="007C0B8C">
        <w:rPr>
          <w:rStyle w:val="a3"/>
          <w:rFonts w:ascii="Times New Roman" w:hAnsi="Times New Roman" w:cs="Times New Roman"/>
          <w:sz w:val="24"/>
          <w:szCs w:val="24"/>
        </w:rPr>
        <w:t>арегистрирован Минюстом России 13 ноября 2020 г., регистрационный № 60894, с изменением, внесенным приказом Минтранса России от 28 сентября 2021 г. № 328 (зарегистрирован Минюстом России 29 октября 2021 г., регистрационный № 65641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Минтранса России от 31 июля 2020 г.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, приказом Минпросвещения России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7C0B8C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>Зарегистрирован Минюстом России 11 сентября 2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020 г., регистрационный № 59784)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и предписаниями главы 8.2 Приложения В к Соглашению о международной дорожной перевозке опасных грузов от 30 сентября 1957 г.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81F32" w:rsidRPr="00281F32">
        <w:rPr>
          <w:rStyle w:val="a3"/>
          <w:rFonts w:ascii="Times New Roman" w:hAnsi="Times New Roman" w:cs="Times New Roman"/>
          <w:sz w:val="24"/>
          <w:szCs w:val="24"/>
        </w:rPr>
        <w:t>(далее — ДОПОГ)</w:t>
      </w:r>
    </w:p>
    <w:p w:rsidR="002328D8" w:rsidRPr="002328D8" w:rsidRDefault="00281F32" w:rsidP="00281F32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328D8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Профессиональное обучение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проводится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по образовательной программе, разработанной на основании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типовых программ,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утвержденных Приказом Министерства транспорта РФ (Минтранс</w:t>
      </w:r>
      <w:r w:rsidR="001D3F9F" w:rsidRPr="00281F32">
        <w:rPr>
          <w:rStyle w:val="a3"/>
          <w:rFonts w:ascii="Times New Roman" w:hAnsi="Times New Roman" w:cs="Times New Roman"/>
          <w:sz w:val="24"/>
          <w:szCs w:val="24"/>
        </w:rPr>
        <w:t xml:space="preserve"> России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) от 11.01.2022 г. «Об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грузов» (зарегистрирован </w:t>
      </w:r>
      <w:r w:rsidR="001D3F9F" w:rsidRPr="007C0B8C">
        <w:rPr>
          <w:rStyle w:val="a3"/>
          <w:rFonts w:ascii="Times New Roman" w:hAnsi="Times New Roman" w:cs="Times New Roman"/>
          <w:sz w:val="24"/>
          <w:szCs w:val="24"/>
        </w:rPr>
        <w:t xml:space="preserve">Минюстом России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15.02.2022 г., регистрационный № 67295)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2328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54B4C" w:rsidRPr="002328D8" w:rsidRDefault="002328D8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</w:t>
      </w:r>
      <w:r w:rsidR="00B7091D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7091D">
        <w:rPr>
          <w:rStyle w:val="a3"/>
          <w:rFonts w:ascii="Times New Roman" w:hAnsi="Times New Roman" w:cs="Times New Roman"/>
          <w:sz w:val="24"/>
          <w:szCs w:val="24"/>
        </w:rPr>
        <w:t>С</w:t>
      </w:r>
      <w:r w:rsidR="00B7091D" w:rsidRPr="002328D8">
        <w:rPr>
          <w:rStyle w:val="a3"/>
          <w:rFonts w:ascii="Times New Roman" w:hAnsi="Times New Roman" w:cs="Times New Roman"/>
          <w:sz w:val="24"/>
          <w:szCs w:val="24"/>
        </w:rPr>
        <w:t>оглашением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883E8B" w:rsidRPr="00883E8B" w:rsidRDefault="002328D8" w:rsidP="00883E8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ab/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Содержание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 представлено общими положениями, учебными планами, содержанием тем учебных планов, планируемыми результатами освоения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 и системой оценки результатов освоения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образовательной</w:t>
      </w:r>
      <w:r w:rsidR="00883E8B" w:rsidRPr="00883E8B">
        <w:rPr>
          <w:rStyle w:val="a3"/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83E8B" w:rsidRDefault="000A684F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Продолжительность обучения, а также перечень </w:t>
      </w:r>
      <w:r w:rsidR="00883E8B">
        <w:rPr>
          <w:rStyle w:val="a3"/>
          <w:rFonts w:ascii="Times New Roman" w:hAnsi="Times New Roman" w:cs="Times New Roman"/>
          <w:sz w:val="24"/>
          <w:szCs w:val="24"/>
        </w:rPr>
        <w:t xml:space="preserve">тем 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>курса обучения устанавливается учебно-тематическим</w:t>
      </w:r>
      <w:r>
        <w:rPr>
          <w:rStyle w:val="a3"/>
          <w:rFonts w:ascii="Times New Roman" w:hAnsi="Times New Roman" w:cs="Times New Roman"/>
          <w:sz w:val="24"/>
          <w:szCs w:val="24"/>
        </w:rPr>
        <w:t>и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Style w:val="a3"/>
          <w:rFonts w:ascii="Times New Roman" w:hAnsi="Times New Roman" w:cs="Times New Roman"/>
          <w:sz w:val="24"/>
          <w:szCs w:val="24"/>
        </w:rPr>
        <w:t>ами</w:t>
      </w:r>
      <w:r w:rsidR="00883E8B" w:rsidRPr="002328D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83E8B" w:rsidRDefault="00883E8B" w:rsidP="001D3F9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Обучение </w:t>
      </w:r>
      <w:r w:rsidR="001D3F9F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водителей, осуществляющих перевозку опасных грузов, не имеющих действующего свидетельства о подготовке водителя, предусмотренного главой 8.2 Приложения В к ДОПОГ (далее — свидетельство ДОПОГ), осуществляется 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в соответствии с у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чебно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-тематическим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план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>ом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представленным в Таблице 1.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Обучение </w:t>
      </w:r>
      <w:r w:rsidR="00852C0E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водителей, осуществляющих перевозку опасных грузов, </w:t>
      </w:r>
      <w:r w:rsidR="00852C0E" w:rsidRPr="00852C0E">
        <w:rPr>
          <w:rStyle w:val="a3"/>
          <w:rFonts w:ascii="Times New Roman" w:hAnsi="Times New Roman" w:cs="Times New Roman"/>
          <w:sz w:val="24"/>
          <w:szCs w:val="24"/>
        </w:rPr>
        <w:t>имеющих действующее свидетельство ДОПОГ</w:t>
      </w:r>
      <w:r w:rsidR="00852C0E" w:rsidRPr="001D3F9F">
        <w:rPr>
          <w:rStyle w:val="a3"/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>в соответствии с у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>чебно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-тематическим </w:t>
      </w:r>
      <w:r w:rsidR="00852C0E" w:rsidRPr="002328D8">
        <w:rPr>
          <w:rStyle w:val="a3"/>
          <w:rFonts w:ascii="Times New Roman" w:hAnsi="Times New Roman" w:cs="Times New Roman"/>
          <w:sz w:val="24"/>
          <w:szCs w:val="24"/>
        </w:rPr>
        <w:t>план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>ом представленным в Таблице 2.</w:t>
      </w:r>
      <w:r w:rsidR="001D3F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0A684F" w:rsidRDefault="002328D8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ab/>
      </w:r>
      <w:r w:rsidR="000A684F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Для получения обучающимися необходимых знаний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A684F" w:rsidRPr="002328D8">
        <w:rPr>
          <w:rStyle w:val="a3"/>
          <w:rFonts w:ascii="Times New Roman" w:hAnsi="Times New Roman" w:cs="Times New Roman"/>
          <w:sz w:val="24"/>
          <w:szCs w:val="24"/>
        </w:rPr>
        <w:t>программой предусматривается проведение,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r w:rsidR="000A684F" w:rsidRPr="00883E8B">
        <w:t xml:space="preserve"> 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0A684F" w:rsidRDefault="000A684F" w:rsidP="00852C0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ab/>
        <w:t xml:space="preserve">Образовательной </w:t>
      </w:r>
      <w:r w:rsidRPr="002328D8">
        <w:rPr>
          <w:rStyle w:val="a3"/>
          <w:rFonts w:ascii="Times New Roman" w:hAnsi="Times New Roman" w:cs="Times New Roman"/>
          <w:sz w:val="24"/>
          <w:szCs w:val="24"/>
        </w:rPr>
        <w:t>программ</w:t>
      </w:r>
      <w:r>
        <w:rPr>
          <w:rStyle w:val="a3"/>
          <w:rFonts w:ascii="Times New Roman" w:hAnsi="Times New Roman" w:cs="Times New Roman"/>
          <w:sz w:val="24"/>
          <w:szCs w:val="24"/>
        </w:rPr>
        <w:t>ой</w:t>
      </w:r>
      <w:r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предусматриваются </w:t>
      </w:r>
      <w:r w:rsidRPr="000A684F">
        <w:rPr>
          <w:rStyle w:val="a3"/>
          <w:rFonts w:ascii="Times New Roman" w:hAnsi="Times New Roman" w:cs="Times New Roman"/>
          <w:sz w:val="24"/>
          <w:szCs w:val="24"/>
        </w:rPr>
        <w:t>также индивидуальные практические занятия, охватывающие в первую очередь действия водителя по оказанию первой помощи пострадавшим, тушению пожара и иные действия, установленные письменными инструкциями, предусмотренными ДОПОГ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D86716" w:rsidRDefault="000A684F" w:rsidP="000A68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обучение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52C0E" w:rsidRPr="00852C0E">
        <w:rPr>
          <w:rStyle w:val="a3"/>
          <w:rFonts w:ascii="Times New Roman" w:hAnsi="Times New Roman" w:cs="Times New Roman"/>
          <w:sz w:val="24"/>
          <w:szCs w:val="24"/>
        </w:rPr>
        <w:t>водителей, осуществляющих перевозки опасных грузов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 проводится не реже одного раза в пять лет.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857942" w:rsidRPr="002328D8" w:rsidRDefault="002328D8" w:rsidP="000A68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852C0E">
        <w:rPr>
          <w:rStyle w:val="a3"/>
          <w:rFonts w:ascii="Times New Roman" w:hAnsi="Times New Roman" w:cs="Times New Roman"/>
          <w:sz w:val="24"/>
          <w:szCs w:val="24"/>
        </w:rPr>
        <w:tab/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К </w:t>
      </w:r>
      <w:r w:rsidR="00D86716" w:rsidRPr="002328D8">
        <w:rPr>
          <w:rStyle w:val="a3"/>
          <w:rFonts w:ascii="Times New Roman" w:hAnsi="Times New Roman" w:cs="Times New Roman"/>
          <w:sz w:val="24"/>
          <w:szCs w:val="24"/>
        </w:rPr>
        <w:t xml:space="preserve">обучению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по данной образовательной программе </w:t>
      </w:r>
      <w:r w:rsidR="00C54B4C" w:rsidRPr="002328D8">
        <w:rPr>
          <w:rStyle w:val="a3"/>
          <w:rFonts w:ascii="Times New Roman" w:hAnsi="Times New Roman" w:cs="Times New Roman"/>
          <w:sz w:val="24"/>
          <w:szCs w:val="24"/>
        </w:rPr>
        <w:t>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</w:t>
      </w:r>
      <w:r w:rsidR="000A684F">
        <w:rPr>
          <w:rStyle w:val="a3"/>
          <w:rFonts w:ascii="Times New Roman" w:hAnsi="Times New Roman" w:cs="Times New Roman"/>
          <w:sz w:val="24"/>
          <w:szCs w:val="24"/>
        </w:rPr>
        <w:t>и не менее трех лет.</w:t>
      </w:r>
      <w:r w:rsidR="000A684F" w:rsidRPr="000A684F">
        <w:rPr>
          <w:rStyle w:val="a3"/>
          <w:rFonts w:ascii="Times New Roman" w:hAnsi="Times New Roman" w:cs="Times New Roman"/>
          <w:sz w:val="24"/>
          <w:szCs w:val="24"/>
        </w:rPr>
        <w:t xml:space="preserve">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.</w:t>
      </w:r>
      <w:bookmarkStart w:id="0" w:name="_Toc402796698"/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К профессиональному обучению водителей, осуществляющих перевозки опасных грузов, в соответствии с учебным планом, </w:t>
      </w:r>
      <w:r w:rsidR="00C94029" w:rsidRPr="00C94029">
        <w:rPr>
          <w:rStyle w:val="a3"/>
          <w:rFonts w:ascii="Times New Roman" w:hAnsi="Times New Roman" w:cs="Times New Roman"/>
          <w:sz w:val="24"/>
          <w:szCs w:val="24"/>
        </w:rPr>
        <w:t>представленным в Таблице 2</w:t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, допускаются водители, соответствующие </w:t>
      </w:r>
      <w:r w:rsidR="00C94029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указанным выше </w:t>
      </w:r>
      <w:r w:rsidR="000A684F" w:rsidRPr="00C94029">
        <w:rPr>
          <w:rStyle w:val="a3"/>
          <w:rFonts w:ascii="Times New Roman" w:hAnsi="Times New Roman" w:cs="Times New Roman"/>
          <w:sz w:val="24"/>
          <w:szCs w:val="24"/>
        </w:rPr>
        <w:t>требованиям и имеющие действующее свидетельство ДОПОГ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D86716" w:rsidRDefault="00D86716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Pr="00810B0B" w:rsidRDefault="00810B0B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 xml:space="preserve">Информационно-методические требования реализации 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>рограммы</w:t>
      </w:r>
    </w:p>
    <w:p w:rsid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sz w:val="24"/>
          <w:szCs w:val="24"/>
        </w:rPr>
        <w:t>включают: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учебный план; календарный учебный график; </w:t>
      </w:r>
      <w:r w:rsidR="00D86716">
        <w:rPr>
          <w:rStyle w:val="a3"/>
          <w:rFonts w:ascii="Times New Roman" w:hAnsi="Times New Roman" w:cs="Times New Roman"/>
          <w:sz w:val="24"/>
          <w:szCs w:val="24"/>
        </w:rPr>
        <w:t>образовательную п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рограмму; методические материалы и разработки; расписание занятий.</w:t>
      </w:r>
    </w:p>
    <w:p w:rsidR="00857942" w:rsidRPr="002328D8" w:rsidRDefault="00857942" w:rsidP="00857942">
      <w:pPr>
        <w:spacing w:line="240" w:lineRule="auto"/>
        <w:ind w:firstLine="36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bookmarkEnd w:id="0"/>
    <w:p w:rsidR="00810B0B" w:rsidRDefault="00F6323C" w:rsidP="00DD0CA2">
      <w:pPr>
        <w:pStyle w:val="1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t>Учебно-тематический план</w:t>
      </w:r>
      <w:r w:rsidR="000A684F">
        <w:rPr>
          <w:rFonts w:ascii="Times New Roman" w:hAnsi="Times New Roman" w:cs="Times New Roman"/>
          <w:u w:val="none"/>
        </w:rPr>
        <w:t xml:space="preserve"> о</w:t>
      </w:r>
      <w:r w:rsidR="000A684F" w:rsidRPr="000A684F">
        <w:rPr>
          <w:rFonts w:ascii="Times New Roman" w:hAnsi="Times New Roman" w:cs="Times New Roman"/>
          <w:u w:val="none"/>
        </w:rPr>
        <w:t>бучение водителей, осуществляющих перевозку опасных грузов, не имеющих действующего свидетельства о подготовке водителя, предусмотренного главой 8.2 Приложения В к ДОПОГ</w:t>
      </w:r>
    </w:p>
    <w:p w:rsidR="00810B0B" w:rsidRPr="00810B0B" w:rsidRDefault="00810B0B" w:rsidP="00810B0B"/>
    <w:p w:rsidR="00F6323C" w:rsidRPr="00D86716" w:rsidRDefault="00D86716" w:rsidP="00810B0B">
      <w:pPr>
        <w:pStyle w:val="1"/>
        <w:jc w:val="right"/>
        <w:rPr>
          <w:rStyle w:val="a3"/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u w:val="none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813"/>
        <w:gridCol w:w="1126"/>
        <w:gridCol w:w="1402"/>
        <w:gridCol w:w="1705"/>
      </w:tblGrid>
      <w:tr w:rsidR="00C6544F" w:rsidRPr="002328D8" w:rsidTr="009C58E1">
        <w:trPr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2542E" w:rsidP="00C254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C6544F" w:rsidRPr="002328D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44F" w:rsidRPr="002328D8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6544F"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44F"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радиоактивных материалов класса 7 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6323C" w:rsidRDefault="00F6323C" w:rsidP="00810B0B">
      <w:pPr>
        <w:pStyle w:val="1"/>
        <w:rPr>
          <w:rFonts w:ascii="Times New Roman" w:hAnsi="Times New Roman" w:cs="Times New Roman"/>
          <w:u w:val="none"/>
        </w:rPr>
      </w:pPr>
      <w:r w:rsidRPr="002328D8">
        <w:rPr>
          <w:rFonts w:ascii="Times New Roman" w:hAnsi="Times New Roman" w:cs="Times New Roman"/>
          <w:u w:val="none"/>
        </w:rPr>
        <w:lastRenderedPageBreak/>
        <w:t xml:space="preserve">Учебно-тематический план </w:t>
      </w:r>
      <w:r w:rsidR="00810B0B" w:rsidRPr="00810B0B">
        <w:rPr>
          <w:rFonts w:ascii="Times New Roman" w:hAnsi="Times New Roman" w:cs="Times New Roman"/>
          <w:u w:val="none"/>
        </w:rPr>
        <w:t>обучени</w:t>
      </w:r>
      <w:r w:rsidR="00810B0B">
        <w:rPr>
          <w:rFonts w:ascii="Times New Roman" w:hAnsi="Times New Roman" w:cs="Times New Roman"/>
          <w:u w:val="none"/>
        </w:rPr>
        <w:t>я</w:t>
      </w:r>
      <w:r w:rsidR="00810B0B" w:rsidRPr="00810B0B">
        <w:rPr>
          <w:rFonts w:ascii="Times New Roman" w:hAnsi="Times New Roman" w:cs="Times New Roman"/>
          <w:u w:val="none"/>
        </w:rPr>
        <w:t xml:space="preserve"> водителей, осуществляющих перевозки опасных грузов, имеющих действующее свидетельство ДОПОГ</w:t>
      </w:r>
    </w:p>
    <w:p w:rsidR="00810B0B" w:rsidRPr="00D86716" w:rsidRDefault="00D86716" w:rsidP="00D86716">
      <w:pPr>
        <w:pStyle w:val="1"/>
        <w:jc w:val="right"/>
        <w:rPr>
          <w:rFonts w:ascii="Times New Roman" w:hAnsi="Times New Roman" w:cs="Times New Roman"/>
          <w:i/>
          <w:u w:val="none"/>
        </w:rPr>
      </w:pPr>
      <w:r>
        <w:rPr>
          <w:rFonts w:ascii="Times New Roman" w:hAnsi="Times New Roman" w:cs="Times New Roman"/>
          <w:i/>
          <w:u w:val="none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813"/>
        <w:gridCol w:w="1121"/>
        <w:gridCol w:w="1411"/>
        <w:gridCol w:w="1690"/>
      </w:tblGrid>
      <w:tr w:rsidR="00C6544F" w:rsidRPr="002328D8" w:rsidTr="009C58E1">
        <w:trPr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2542E" w:rsidP="00C654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радиоактивных материалов класса 7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D069A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упаковке, совместной погрузке, укладке 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44F" w:rsidRPr="002328D8" w:rsidTr="009C58E1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4F" w:rsidRPr="002328D8" w:rsidRDefault="00C6544F" w:rsidP="009C58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C2542E" w:rsidRDefault="00C2542E" w:rsidP="008A42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3C" w:rsidRDefault="00F6323C" w:rsidP="008A42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1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2542E">
        <w:rPr>
          <w:rFonts w:ascii="Times New Roman" w:hAnsi="Times New Roman" w:cs="Times New Roman"/>
          <w:b/>
          <w:sz w:val="24"/>
          <w:szCs w:val="24"/>
        </w:rPr>
        <w:t>тем</w:t>
      </w:r>
      <w:r w:rsidRPr="008A4219">
        <w:rPr>
          <w:rFonts w:ascii="Times New Roman" w:hAnsi="Times New Roman" w:cs="Times New Roman"/>
          <w:b/>
          <w:sz w:val="24"/>
          <w:szCs w:val="24"/>
        </w:rPr>
        <w:t xml:space="preserve"> учебно-тематическ</w:t>
      </w:r>
      <w:r w:rsidR="00C2542E">
        <w:rPr>
          <w:rFonts w:ascii="Times New Roman" w:hAnsi="Times New Roman" w:cs="Times New Roman"/>
          <w:b/>
          <w:sz w:val="24"/>
          <w:szCs w:val="24"/>
        </w:rPr>
        <w:t>их планов</w:t>
      </w:r>
    </w:p>
    <w:p w:rsidR="00C2542E" w:rsidRPr="008A4219" w:rsidRDefault="00C2542E" w:rsidP="008A42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44F" w:rsidRPr="00053828" w:rsidRDefault="00C6544F" w:rsidP="00C6544F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Нормативные правовые акты при перевозках радиоактивных материалов автомобильным транспортом</w:t>
      </w:r>
    </w:p>
    <w:p w:rsidR="00D069A9" w:rsidRPr="00D069A9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="00D069A9" w:rsidRPr="00D069A9">
        <w:rPr>
          <w:rStyle w:val="a3"/>
          <w:rFonts w:ascii="Times New Roman" w:hAnsi="Times New Roman" w:cs="Times New Roman"/>
          <w:sz w:val="24"/>
          <w:szCs w:val="24"/>
        </w:rPr>
        <w:t>Основные предписания ДОПОГ, касающиеся перевозки радиоактивных грузов. Правила безопасности при транспортировании радиоактивных материалов, утверждены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>е</w:t>
      </w:r>
      <w:r w:rsidR="00D069A9" w:rsidRPr="00D069A9">
        <w:rPr>
          <w:rStyle w:val="a3"/>
          <w:rFonts w:ascii="Times New Roman" w:hAnsi="Times New Roman" w:cs="Times New Roman"/>
          <w:sz w:val="24"/>
          <w:szCs w:val="24"/>
        </w:rPr>
        <w:t xml:space="preserve"> приказом Ростехнадзора от 15 сентября 2016 г. № 388 «Об утверждении федеральных норм и правил в области использования атомной энергии «Правила безопасности при транспортировании радиоактивных материалов» (зарегистрирован Минюстом России 24 января 2017 г., регистрационный № 45375), с изменениями, внесенными приказом Ростехнадзора от 5 октября 2020 г. № 385 (зарегистрирован Минюстом России 5 ноября 2020 г., регистрационный -М2 60764).</w:t>
      </w:r>
    </w:p>
    <w:p w:rsidR="00C6544F" w:rsidRPr="00053828" w:rsidRDefault="00D069A9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C6544F" w:rsidRPr="00053828">
        <w:rPr>
          <w:rStyle w:val="a3"/>
          <w:rFonts w:ascii="Times New Roman" w:hAnsi="Times New Roman" w:cs="Times New Roman"/>
          <w:sz w:val="24"/>
          <w:szCs w:val="24"/>
        </w:rPr>
        <w:t xml:space="preserve">Федеральный закон от 21 ноября 1995 г. № 170-ФЗ </w:t>
      </w:r>
      <w:r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C6544F" w:rsidRPr="00053828">
        <w:rPr>
          <w:rStyle w:val="a3"/>
          <w:rFonts w:ascii="Times New Roman" w:hAnsi="Times New Roman" w:cs="Times New Roman"/>
          <w:sz w:val="24"/>
          <w:szCs w:val="24"/>
        </w:rPr>
        <w:t>Об использовании атомной энергии</w:t>
      </w:r>
      <w:r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C6544F" w:rsidRPr="0005382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(</w:t>
      </w:r>
      <w:r w:rsidR="00C6544F" w:rsidRPr="00C6544F">
        <w:rPr>
          <w:rStyle w:val="a3"/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1995, № 48,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ст. 4552; 2021, № 18, ст. 3066)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и</w:t>
      </w:r>
      <w:r w:rsidR="00C6544F" w:rsidRPr="00053828">
        <w:rPr>
          <w:rStyle w:val="a3"/>
          <w:rFonts w:ascii="Times New Roman" w:hAnsi="Times New Roman" w:cs="Times New Roman"/>
          <w:sz w:val="24"/>
          <w:szCs w:val="24"/>
        </w:rPr>
        <w:t xml:space="preserve">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</w:p>
    <w:p w:rsidR="00C6544F" w:rsidRPr="00053828" w:rsidRDefault="00C6544F" w:rsidP="00C654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6544F" w:rsidRPr="00053828" w:rsidRDefault="00C6544F" w:rsidP="00C6544F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Виды опасности, характерные для радиоактивного излучения, включая ионизирующее излучение</w:t>
      </w:r>
    </w:p>
    <w:p w:rsidR="00C6544F" w:rsidRPr="00053828" w:rsidRDefault="00C6544F" w:rsidP="00C654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Понятия: радиоактивность, излучение, период полураспада, доза, мощность дозы.</w:t>
      </w:r>
    </w:p>
    <w:p w:rsidR="00C6544F" w:rsidRPr="00053828" w:rsidRDefault="00C6544F" w:rsidP="00C654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Перечень радиоактивных материалов класса 7, их классификация и свойства.</w:t>
      </w:r>
    </w:p>
    <w:p w:rsidR="00C6544F" w:rsidRPr="00053828" w:rsidRDefault="00C6544F" w:rsidP="00C654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Виды излучений: ионизирующие; альфа-, бета-, гамма-излучение; неионизирующие; нейтронное. Деление ядер и ядерная реакция.</w:t>
      </w:r>
    </w:p>
    <w:p w:rsidR="00C6544F" w:rsidRPr="00053828" w:rsidRDefault="00C6544F" w:rsidP="00C654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C6544F" w:rsidRPr="00053828" w:rsidRDefault="00C6544F" w:rsidP="00C654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Влияние на организм человека радиоактивного излучения, первичные симптомы поражения.</w:t>
      </w:r>
    </w:p>
    <w:p w:rsidR="00C6544F" w:rsidRPr="00053828" w:rsidRDefault="00C6544F" w:rsidP="00C654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Приборы для измерения радиоактивного излучения.</w:t>
      </w:r>
    </w:p>
    <w:p w:rsidR="00C6544F" w:rsidRPr="00053828" w:rsidRDefault="00C6544F" w:rsidP="00C6544F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6544F" w:rsidRPr="00053828" w:rsidRDefault="00C6544F" w:rsidP="00C6544F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Специальные требования, предъявляемые к упаковке, совместной погрузке, укладке и перевозке радиоактивных материалов</w:t>
      </w:r>
    </w:p>
    <w:p w:rsidR="00C6544F" w:rsidRPr="00053828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5382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Виды упаковок и требования к ним (освобожденные и промышленные упаковки, упаковки типа А, В и С).</w:t>
      </w:r>
    </w:p>
    <w:p w:rsidR="00C6544F" w:rsidRPr="00053828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 w:rsidR="00C6544F" w:rsidRPr="00053828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Маркировка упаковок, транспортных пакетов и контейнеров.</w:t>
      </w:r>
    </w:p>
    <w:p w:rsidR="00C6544F" w:rsidRPr="00053828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 ограничения максимального значения индекса безо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пасности по критичности; распределение упаковок, содержащих делящийся материал.</w:t>
      </w:r>
    </w:p>
    <w:p w:rsidR="00C6544F" w:rsidRPr="00053828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C6544F" w:rsidRPr="00053828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Режим движения при перевозке и требования к местам стоянки транспортных средств, перевозящих радиоактивные материалы.</w:t>
      </w:r>
    </w:p>
    <w:p w:rsidR="00C6544F" w:rsidRPr="00053828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Дополнительные транспортно-сопроводительные документы при перевозке радиоактивных материалов: разрешение на перевозку; свидетельство ДОПОГ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C6544F" w:rsidRPr="002328D8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053828">
        <w:rPr>
          <w:rStyle w:val="a3"/>
          <w:rFonts w:ascii="Times New Roman" w:hAnsi="Times New Roman" w:cs="Times New Roman"/>
          <w:sz w:val="24"/>
          <w:szCs w:val="24"/>
        </w:rPr>
        <w:t>Практическое занятие направлено на оформление документов при перевозках радиоактивных матер</w:t>
      </w:r>
      <w:r>
        <w:rPr>
          <w:rStyle w:val="a3"/>
          <w:rFonts w:ascii="Times New Roman" w:hAnsi="Times New Roman" w:cs="Times New Roman"/>
          <w:sz w:val="24"/>
          <w:szCs w:val="24"/>
        </w:rPr>
        <w:t>иалов по предлагаемому перечню.</w:t>
      </w:r>
    </w:p>
    <w:p w:rsidR="00C2542E" w:rsidRDefault="00C2542E" w:rsidP="00C6544F">
      <w:pPr>
        <w:pStyle w:val="1"/>
        <w:rPr>
          <w:rFonts w:ascii="Times New Roman" w:hAnsi="Times New Roman" w:cs="Times New Roman"/>
          <w:u w:val="none"/>
        </w:rPr>
      </w:pPr>
    </w:p>
    <w:p w:rsidR="00C6544F" w:rsidRPr="00E71C93" w:rsidRDefault="00C6544F" w:rsidP="00C6544F">
      <w:pPr>
        <w:pStyle w:val="1"/>
        <w:rPr>
          <w:rStyle w:val="a3"/>
          <w:rFonts w:ascii="Times New Roman" w:hAnsi="Times New Roman" w:cs="Times New Roman"/>
          <w:sz w:val="24"/>
          <w:u w:val="none"/>
        </w:rPr>
      </w:pPr>
      <w:r w:rsidRPr="002328D8">
        <w:rPr>
          <w:rFonts w:ascii="Times New Roman" w:hAnsi="Times New Roman" w:cs="Times New Roman"/>
          <w:u w:val="none"/>
        </w:rPr>
        <w:t>Требования к транспортным средствам, контейнерам и дополнительному оборудованию при пер</w:t>
      </w:r>
      <w:r>
        <w:rPr>
          <w:rFonts w:ascii="Times New Roman" w:hAnsi="Times New Roman" w:cs="Times New Roman"/>
          <w:u w:val="none"/>
        </w:rPr>
        <w:t>евозке радиоактивных материалов</w:t>
      </w:r>
    </w:p>
    <w:p w:rsidR="00C6544F" w:rsidRPr="00E71C93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71C93">
        <w:rPr>
          <w:rStyle w:val="a3"/>
          <w:rFonts w:ascii="Times New Roman" w:hAnsi="Times New Roman" w:cs="Times New Roman"/>
          <w:sz w:val="24"/>
          <w:szCs w:val="24"/>
        </w:rPr>
        <w:t>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C6544F" w:rsidRPr="00E71C93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71C93">
        <w:rPr>
          <w:rStyle w:val="a3"/>
          <w:rFonts w:ascii="Times New Roman" w:hAnsi="Times New Roman" w:cs="Times New Roman"/>
          <w:sz w:val="24"/>
          <w:szCs w:val="24"/>
        </w:rPr>
        <w:t>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C6544F" w:rsidRPr="00E71C93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71C93">
        <w:rPr>
          <w:rStyle w:val="a3"/>
          <w:rFonts w:ascii="Times New Roman" w:hAnsi="Times New Roman" w:cs="Times New Roman"/>
          <w:sz w:val="24"/>
          <w:szCs w:val="24"/>
        </w:rPr>
        <w:t>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:rsidR="00C6544F" w:rsidRPr="00E71C93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6544F" w:rsidRPr="00E71C93" w:rsidRDefault="00C6544F" w:rsidP="00C6544F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E71C93">
        <w:rPr>
          <w:rFonts w:ascii="Times New Roman" w:hAnsi="Times New Roman" w:cs="Times New Roman"/>
          <w:b/>
          <w:sz w:val="24"/>
          <w:szCs w:val="24"/>
        </w:rPr>
        <w:t>Специальные меры, принимаемые в случае аварии при перевозке радиоактивных материалов</w:t>
      </w:r>
    </w:p>
    <w:p w:rsidR="00C6544F" w:rsidRPr="00E71C93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71C93">
        <w:rPr>
          <w:rStyle w:val="a3"/>
          <w:rFonts w:ascii="Times New Roman" w:hAnsi="Times New Roman" w:cs="Times New Roman"/>
          <w:sz w:val="24"/>
          <w:szCs w:val="24"/>
        </w:rPr>
        <w:t>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C6544F" w:rsidRPr="00E71C93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71C93">
        <w:rPr>
          <w:rStyle w:val="a3"/>
          <w:rFonts w:ascii="Times New Roman" w:hAnsi="Times New Roman" w:cs="Times New Roman"/>
          <w:sz w:val="24"/>
          <w:szCs w:val="24"/>
        </w:rPr>
        <w:t>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C6544F" w:rsidRPr="00E71C93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71C93">
        <w:rPr>
          <w:rStyle w:val="a3"/>
          <w:rFonts w:ascii="Times New Roman" w:hAnsi="Times New Roman" w:cs="Times New Roman"/>
          <w:sz w:val="24"/>
          <w:szCs w:val="24"/>
        </w:rPr>
        <w:t>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C6544F" w:rsidRPr="00E71C93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71C93">
        <w:rPr>
          <w:rStyle w:val="a3"/>
          <w:rFonts w:ascii="Times New Roman" w:hAnsi="Times New Roman" w:cs="Times New Roman"/>
          <w:sz w:val="24"/>
          <w:szCs w:val="24"/>
        </w:rPr>
        <w:t>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:rsidR="00C6544F" w:rsidRPr="00E71C93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71C93">
        <w:rPr>
          <w:rStyle w:val="a3"/>
          <w:rFonts w:ascii="Times New Roman" w:hAnsi="Times New Roman" w:cs="Times New Roman"/>
          <w:sz w:val="24"/>
          <w:szCs w:val="24"/>
        </w:rPr>
        <w:t>Аварийные меры при перевозке делящихся и неделимых материалов.</w:t>
      </w:r>
    </w:p>
    <w:p w:rsidR="00C6544F" w:rsidRPr="00E71C93" w:rsidRDefault="00C6544F" w:rsidP="00D069A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 w:rsidR="00D069A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71C93">
        <w:rPr>
          <w:rStyle w:val="a3"/>
          <w:rFonts w:ascii="Times New Roman" w:hAnsi="Times New Roman" w:cs="Times New Roman"/>
          <w:sz w:val="24"/>
          <w:szCs w:val="24"/>
        </w:rPr>
        <w:t>Практическое занятие направлено на изучение требований по дезактивации персонала и транспортных средств в предлагаемых заданием случаях.</w:t>
      </w:r>
    </w:p>
    <w:p w:rsidR="00F6323C" w:rsidRPr="008A4219" w:rsidRDefault="00F6323C" w:rsidP="008A4219">
      <w:pPr>
        <w:pStyle w:val="a9"/>
      </w:pPr>
    </w:p>
    <w:p w:rsidR="00C6544F" w:rsidRPr="00E71C93" w:rsidRDefault="00C6544F" w:rsidP="00C6544F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E71C9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C2542E">
        <w:rPr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E71C9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6544F" w:rsidRPr="00C2542E" w:rsidRDefault="00C2542E" w:rsidP="00C2542E">
      <w:pPr>
        <w:pStyle w:val="a9"/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В результате освоения п</w:t>
      </w:r>
      <w:r w:rsidR="00C6544F" w:rsidRPr="00C2542E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рограммы обучения обучающийся должен знать: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>-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основные требования законодательных и нормативных правовых актов в области перевозок автомобильным транспортом радиоактивных материалов; 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виды опасности, характерные для радиоактивного излучения, включая ионизирующее; 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основные принципы воздействия радиоактивных материалов на организм человека и окружающую среду; 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>специальные требования, предъявляемые к упаковке, совместной погрузке, укладке и перевозке радиоактивных материалов;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 правила маркировки упаковок, транспортных пакетов и контейнеров, используемых при перевозке радиоактивных материалов; 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правила погрузочно-разгрузочных работ, размещения и крепления при перевозке радиоактивных материалов; 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режимы движения транспортных средств при перевозке радиоактивных материалов и требования к местам стоянки таких транспортных средств; 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необходимые для перевозки радиоактивных материалов дополнительные транспортно-сопроводительные документы, порядок их получения и заполнения; 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 специальные меры, принимаемые в случае аварии при перевозке радиоактивных материалов; 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первоочередные действия в случае обнаружения повреждения упаковки или утечки радиоактивного материала; 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 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основы оказания первой помощи пострадавшим в результате аварии при перевозках радиоактивных материалов; 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C6544F" w:rsidRPr="00E71C93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В результате освоения п</w:t>
      </w:r>
      <w:r w:rsidRPr="00C2542E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рограммы обучения обучающийся должен </w:t>
      </w:r>
      <w:r w:rsidR="00C6544F" w:rsidRPr="00E71C93">
        <w:rPr>
          <w:rStyle w:val="a3"/>
          <w:rFonts w:ascii="Times New Roman" w:hAnsi="Times New Roman" w:cs="Times New Roman"/>
          <w:sz w:val="24"/>
          <w:szCs w:val="24"/>
        </w:rPr>
        <w:t>уметь: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 пользоваться приборами для измерения радиоактивного излучения и дополнительным оборудованием;</w:t>
      </w:r>
    </w:p>
    <w:p w:rsid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 xml:space="preserve"> определять первичные симптомы поражения человека радиоактивным излучением; </w:t>
      </w:r>
    </w:p>
    <w:p w:rsidR="00C2542E" w:rsidRPr="00C2542E" w:rsidRDefault="00C2542E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  <w:t xml:space="preserve">- </w:t>
      </w:r>
      <w:r w:rsidRPr="00C2542E">
        <w:rPr>
          <w:rStyle w:val="a3"/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радиоактивным грузом; проводить дезактивацию лиц, а также транспортных средств, подвергшихся загрязнению в результате аварии.</w:t>
      </w:r>
    </w:p>
    <w:p w:rsidR="00A025AA" w:rsidRDefault="00A025AA" w:rsidP="00C2542E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0B0B" w:rsidRPr="00810B0B" w:rsidRDefault="00810B0B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 xml:space="preserve">Условия реализации </w:t>
      </w:r>
      <w:r w:rsidR="00C2542E"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>рограммы</w:t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Условия реализации обеспечива</w:t>
      </w:r>
      <w:r>
        <w:rPr>
          <w:rStyle w:val="a3"/>
          <w:rFonts w:ascii="Times New Roman" w:hAnsi="Times New Roman" w:cs="Times New Roman"/>
          <w:sz w:val="24"/>
          <w:szCs w:val="24"/>
        </w:rPr>
        <w:t>ют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</w:t>
      </w:r>
      <w:r>
        <w:rPr>
          <w:rStyle w:val="a3"/>
          <w:rFonts w:ascii="Times New Roman" w:hAnsi="Times New Roman" w:cs="Times New Roman"/>
          <w:sz w:val="24"/>
          <w:szCs w:val="24"/>
        </w:rPr>
        <w:t>оения Программы в полном объеме,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 соответствие применяемых форм, средств и методов обучения с учетом особенностей перевозок опасных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Теоретическое обучение проводиться в оборудованных учебных аудиториях, отвечающих материально-техническим и информационно</w:t>
      </w:r>
      <w:r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методическим требованиям.</w:t>
      </w:r>
    </w:p>
    <w:p w:rsidR="00810B0B" w:rsidRP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составля</w:t>
      </w:r>
      <w:r>
        <w:rPr>
          <w:rStyle w:val="a3"/>
          <w:rFonts w:ascii="Times New Roman" w:hAnsi="Times New Roman" w:cs="Times New Roman"/>
          <w:sz w:val="24"/>
          <w:szCs w:val="24"/>
        </w:rPr>
        <w:t>е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т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один академический час (45 минут).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Время, отводимое </w:t>
      </w:r>
      <w:r>
        <w:rPr>
          <w:rStyle w:val="a3"/>
          <w:rFonts w:ascii="Times New Roman" w:hAnsi="Times New Roman" w:cs="Times New Roman"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рограммой, на проведение практических занятий по вопросам оказания первой помощи, тушения пожара и иных действий, согласно письменным инструкциям, предусмотренным ДОПОГ, выделяется в объеме, предусмотренном программой, из расчета один академический час на пять обучающихся.</w:t>
      </w:r>
    </w:p>
    <w:p w:rsidR="00810B0B" w:rsidRDefault="00810B0B" w:rsidP="00810B0B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Педагогическую деятельность осуществля</w:t>
      </w:r>
      <w:r>
        <w:rPr>
          <w:rStyle w:val="a3"/>
          <w:rFonts w:ascii="Times New Roman" w:hAnsi="Times New Roman" w:cs="Times New Roman"/>
          <w:sz w:val="24"/>
          <w:szCs w:val="24"/>
        </w:rPr>
        <w:t>ю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т лица, имеющие среднее профессиональное или высшее образование и отвечающие квалификационным требованиям, указанным </w:t>
      </w:r>
      <w:r>
        <w:rPr>
          <w:rStyle w:val="a3"/>
          <w:rFonts w:ascii="Times New Roman" w:hAnsi="Times New Roman" w:cs="Times New Roman"/>
          <w:sz w:val="24"/>
          <w:szCs w:val="24"/>
        </w:rPr>
        <w:t>в квалификационных справочниках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0B0B">
        <w:rPr>
          <w:rStyle w:val="a3"/>
          <w:rFonts w:ascii="Times New Roman" w:hAnsi="Times New Roman" w:cs="Times New Roman"/>
          <w:sz w:val="24"/>
          <w:szCs w:val="24"/>
        </w:rPr>
        <w:t xml:space="preserve">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28 июля 2020 г. № 257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 </w:t>
      </w:r>
      <w:r w:rsidRPr="00810B0B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2E" w:rsidRDefault="00C2542E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Default="00810B0B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 xml:space="preserve">Материально-технические требования реализации 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810B0B">
        <w:rPr>
          <w:rStyle w:val="a3"/>
          <w:rFonts w:ascii="Times New Roman" w:hAnsi="Times New Roman" w:cs="Times New Roman"/>
          <w:b/>
          <w:sz w:val="24"/>
          <w:szCs w:val="24"/>
        </w:rPr>
        <w:t>рограммы:</w:t>
      </w:r>
    </w:p>
    <w:p w:rsidR="00C2542E" w:rsidRDefault="00C2542E" w:rsidP="00810B0B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Pr="00C2542E" w:rsidRDefault="00C2542E" w:rsidP="00C2542E">
      <w:pPr>
        <w:pStyle w:val="a9"/>
        <w:jc w:val="right"/>
        <w:rPr>
          <w:rStyle w:val="a3"/>
          <w:rFonts w:ascii="Times New Roman" w:hAnsi="Times New Roman" w:cs="Times New Roman"/>
          <w:b/>
          <w:i/>
          <w:sz w:val="24"/>
          <w:szCs w:val="24"/>
        </w:rPr>
      </w:pPr>
      <w:r w:rsidRPr="00C2542E">
        <w:rPr>
          <w:rStyle w:val="a3"/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W w:w="7986" w:type="dxa"/>
        <w:tblInd w:w="77" w:type="dxa"/>
        <w:tblCellMar>
          <w:top w:w="39" w:type="dxa"/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4135"/>
        <w:gridCol w:w="3840"/>
        <w:gridCol w:w="11"/>
      </w:tblGrid>
      <w:tr w:rsidR="00810B0B" w:rsidRPr="00810B0B" w:rsidTr="00810B0B">
        <w:trPr>
          <w:gridAfter w:val="1"/>
          <w:wAfter w:w="11" w:type="dxa"/>
          <w:trHeight w:val="33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10B0B" w:rsidRPr="00810B0B" w:rsidTr="00B93659">
        <w:trPr>
          <w:gridAfter w:val="1"/>
          <w:wAfter w:w="11" w:type="dxa"/>
          <w:trHeight w:val="295"/>
        </w:trPr>
        <w:tc>
          <w:tcPr>
            <w:tcW w:w="7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810B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0B0B">
              <w:rPr>
                <w:rFonts w:ascii="Times New Roman" w:hAnsi="Times New Roman" w:cs="Times New Roman"/>
                <w:b/>
              </w:rPr>
              <w:t>Обор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810B0B">
              <w:rPr>
                <w:rFonts w:ascii="Times New Roman" w:hAnsi="Times New Roman" w:cs="Times New Roman"/>
                <w:b/>
              </w:rPr>
              <w:t>дование и технические средства обучения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Компьюте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Мультимедийной пр</w:t>
            </w:r>
            <w:r w:rsidRPr="00810B0B">
              <w:rPr>
                <w:rFonts w:ascii="Times New Roman" w:hAnsi="Times New Roman" w:cs="Times New Roman"/>
              </w:rPr>
              <w:t>оекто</w:t>
            </w:r>
            <w:r>
              <w:rPr>
                <w:rFonts w:ascii="Times New Roman" w:hAnsi="Times New Roman" w:cs="Times New Roman"/>
              </w:rPr>
              <w:t>р</w:t>
            </w:r>
            <w:r w:rsidRPr="00810B0B">
              <w:rPr>
                <w:rFonts w:ascii="Times New Roman" w:hAnsi="Times New Roman" w:cs="Times New Roman"/>
              </w:rPr>
              <w:t xml:space="preserve"> или телевизор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C94029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</w:t>
            </w:r>
            <w:r>
              <w:rPr>
                <w:rFonts w:ascii="Times New Roman" w:hAnsi="Times New Roman" w:cs="Times New Roman"/>
              </w:rPr>
              <w:tab/>
              <w:t xml:space="preserve">отработки </w:t>
            </w:r>
            <w:r w:rsidRPr="00C94029">
              <w:rPr>
                <w:rFonts w:ascii="Times New Roman" w:hAnsi="Times New Roman" w:cs="Times New Roman"/>
              </w:rPr>
              <w:t>приемов восстановления проходимости верхних дыхательных путей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85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9C58E1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</w:t>
            </w:r>
            <w:r>
              <w:rPr>
                <w:rFonts w:ascii="Times New Roman" w:hAnsi="Times New Roman" w:cs="Times New Roman"/>
              </w:rPr>
              <w:tab/>
              <w:t>отработки</w:t>
            </w:r>
            <w:r w:rsidR="00810B0B" w:rsidRPr="00810B0B">
              <w:rPr>
                <w:rFonts w:ascii="Times New Roman" w:hAnsi="Times New Roman" w:cs="Times New Roman"/>
              </w:rPr>
              <w:t>приемов восстановления проходимости верхних дыхательных путей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7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оказания первой помощи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549" w:hanging="226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 xml:space="preserve">1 комплект (достаточный для обучения одной </w:t>
            </w:r>
            <w:r w:rsidR="00C94029">
              <w:rPr>
                <w:rFonts w:ascii="Times New Roman" w:hAnsi="Times New Roman" w:cs="Times New Roman"/>
              </w:rPr>
              <w:t>гр</w:t>
            </w:r>
            <w:r w:rsidRPr="00810B0B">
              <w:rPr>
                <w:rFonts w:ascii="Times New Roman" w:hAnsi="Times New Roman" w:cs="Times New Roman"/>
              </w:rPr>
              <w:t>уппы)</w:t>
            </w:r>
          </w:p>
        </w:tc>
      </w:tr>
      <w:tr w:rsidR="00810B0B" w:rsidRPr="00810B0B" w:rsidTr="00810B0B">
        <w:trPr>
          <w:gridAfter w:val="1"/>
          <w:wAfter w:w="11" w:type="dxa"/>
          <w:trHeight w:val="57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810B0B" w:rsidRPr="00810B0B" w:rsidTr="00810B0B">
        <w:trPr>
          <w:gridAfter w:val="1"/>
          <w:wAfter w:w="11" w:type="dxa"/>
          <w:trHeight w:val="56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C94029" w:rsidRPr="00810B0B" w:rsidTr="009E5B86">
        <w:trPr>
          <w:gridAfter w:val="1"/>
          <w:wAfter w:w="11" w:type="dxa"/>
          <w:trHeight w:val="288"/>
        </w:trPr>
        <w:tc>
          <w:tcPr>
            <w:tcW w:w="7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29" w:rsidRPr="00C94029" w:rsidRDefault="00C94029" w:rsidP="00C9402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029">
              <w:rPr>
                <w:rFonts w:ascii="Times New Roman" w:hAnsi="Times New Roman" w:cs="Times New Roman"/>
                <w:b/>
              </w:rPr>
              <w:lastRenderedPageBreak/>
              <w:t>Информационные материалы</w:t>
            </w:r>
          </w:p>
        </w:tc>
      </w:tr>
      <w:tr w:rsidR="00810B0B" w:rsidRPr="00810B0B" w:rsidTr="00C94029">
        <w:trPr>
          <w:gridAfter w:val="1"/>
          <w:wAfter w:w="11" w:type="dxa"/>
          <w:trHeight w:val="81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29" w:rsidRDefault="00810B0B" w:rsidP="00C94029">
            <w:pPr>
              <w:spacing w:after="0" w:line="259" w:lineRule="auto"/>
              <w:ind w:left="5" w:right="10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Учебно-методические пособия, содержащие материалы дл</w:t>
            </w:r>
            <w:r w:rsidR="00C94029">
              <w:rPr>
                <w:rFonts w:ascii="Times New Roman" w:hAnsi="Times New Roman" w:cs="Times New Roman"/>
              </w:rPr>
              <w:t>я обучения по разделам, указанным</w:t>
            </w:r>
            <w:r w:rsidRPr="00810B0B">
              <w:rPr>
                <w:rFonts w:ascii="Times New Roman" w:hAnsi="Times New Roman" w:cs="Times New Roman"/>
              </w:rPr>
              <w:t xml:space="preserve"> в Типовой программе. </w:t>
            </w:r>
          </w:p>
          <w:p w:rsidR="00810B0B" w:rsidRPr="00810B0B" w:rsidRDefault="00C94029" w:rsidP="00C94029">
            <w:pPr>
              <w:spacing w:after="0" w:line="259" w:lineRule="auto"/>
              <w:ind w:left="5"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r w:rsidR="00810B0B" w:rsidRPr="00C94029">
              <w:rPr>
                <w:rFonts w:ascii="Times New Roman" w:hAnsi="Times New Roman" w:cs="Times New Roman"/>
                <w:i/>
              </w:rPr>
              <w:t>огут быть представлены в виде печатных изданий, плакатов, электронных учебных материалов, тематических</w:t>
            </w:r>
            <w:r w:rsidRPr="00C94029">
              <w:rPr>
                <w:rFonts w:ascii="Times New Roman" w:hAnsi="Times New Roman" w:cs="Times New Roman"/>
                <w:i/>
              </w:rPr>
              <w:t xml:space="preserve"> фильмов, пр</w:t>
            </w:r>
            <w:r w:rsidR="00810B0B" w:rsidRPr="00C94029">
              <w:rPr>
                <w:rFonts w:ascii="Times New Roman" w:hAnsi="Times New Roman" w:cs="Times New Roman"/>
                <w:i/>
              </w:rPr>
              <w:t>езентаций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810B0B" w:rsidRPr="00810B0B" w:rsidTr="00810B0B">
        <w:trPr>
          <w:gridAfter w:val="1"/>
          <w:wAfter w:w="11" w:type="dxa"/>
          <w:trHeight w:val="29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9C58E1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А и Пр</w:t>
            </w:r>
            <w:r w:rsidR="00810B0B" w:rsidRPr="00810B0B">
              <w:rPr>
                <w:rFonts w:ascii="Times New Roman" w:hAnsi="Times New Roman" w:cs="Times New Roman"/>
              </w:rPr>
              <w:t>иложение В к ДОПОГ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810B0B" w:rsidRPr="00810B0B" w:rsidTr="00C94029">
        <w:trPr>
          <w:trHeight w:val="499"/>
        </w:trPr>
        <w:tc>
          <w:tcPr>
            <w:tcW w:w="7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C94029" w:rsidRDefault="00810B0B" w:rsidP="00C94029">
            <w:pPr>
              <w:spacing w:after="0" w:line="259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C94029">
              <w:rPr>
                <w:rFonts w:ascii="Times New Roman" w:hAnsi="Times New Roman" w:cs="Times New Roman"/>
                <w:b/>
              </w:rPr>
              <w:t>Ин</w:t>
            </w:r>
            <w:r w:rsidR="00C94029" w:rsidRPr="00C94029">
              <w:rPr>
                <w:rFonts w:ascii="Times New Roman" w:hAnsi="Times New Roman" w:cs="Times New Roman"/>
                <w:b/>
              </w:rPr>
              <w:t>ф</w:t>
            </w:r>
            <w:r w:rsidRPr="00C94029">
              <w:rPr>
                <w:rFonts w:ascii="Times New Roman" w:hAnsi="Times New Roman" w:cs="Times New Roman"/>
                <w:b/>
              </w:rPr>
              <w:t>о</w:t>
            </w:r>
            <w:r w:rsidR="00C94029" w:rsidRPr="00C94029">
              <w:rPr>
                <w:rFonts w:ascii="Times New Roman" w:hAnsi="Times New Roman" w:cs="Times New Roman"/>
                <w:b/>
              </w:rPr>
              <w:t>р</w:t>
            </w:r>
            <w:r w:rsidRPr="00C94029">
              <w:rPr>
                <w:rFonts w:ascii="Times New Roman" w:hAnsi="Times New Roman" w:cs="Times New Roman"/>
                <w:b/>
              </w:rPr>
              <w:t>мационны</w:t>
            </w:r>
            <w:r w:rsidR="00C94029">
              <w:rPr>
                <w:rFonts w:ascii="Times New Roman" w:hAnsi="Times New Roman" w:cs="Times New Roman"/>
                <w:b/>
              </w:rPr>
              <w:t>й</w:t>
            </w:r>
            <w:r w:rsidRPr="00C94029">
              <w:rPr>
                <w:rFonts w:ascii="Times New Roman" w:hAnsi="Times New Roman" w:cs="Times New Roman"/>
                <w:b/>
              </w:rPr>
              <w:t xml:space="preserve"> стенд</w:t>
            </w:r>
          </w:p>
        </w:tc>
      </w:tr>
      <w:tr w:rsidR="00810B0B" w:rsidRPr="00810B0B" w:rsidTr="00810B0B">
        <w:trPr>
          <w:gridAfter w:val="1"/>
          <w:wAfter w:w="11" w:type="dxa"/>
          <w:trHeight w:val="98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0" w:firstLine="5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Копия лицензии на осуществление образовательной деятельности либо выписка из реестра лицензий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21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8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C94029" w:rsidP="009C58E1">
            <w:pPr>
              <w:spacing w:after="0" w:line="259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</w:t>
            </w:r>
            <w:r w:rsidR="00810B0B" w:rsidRPr="00810B0B">
              <w:rPr>
                <w:rFonts w:ascii="Times New Roman" w:hAnsi="Times New Roman" w:cs="Times New Roman"/>
              </w:rPr>
              <w:t>ессионального обучения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93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4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6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28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  <w:tr w:rsidR="00810B0B" w:rsidRPr="00810B0B" w:rsidTr="00810B0B">
        <w:trPr>
          <w:gridAfter w:val="1"/>
          <w:wAfter w:w="11" w:type="dxa"/>
          <w:trHeight w:val="57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19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Адрес официального сайта в информационно телекоммуникационной сети «Интернет»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0B" w:rsidRPr="00810B0B" w:rsidRDefault="00810B0B" w:rsidP="009C58E1">
            <w:pPr>
              <w:spacing w:after="0"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810B0B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C94029" w:rsidRDefault="00C94029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Default="00810B0B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C94029">
        <w:rPr>
          <w:rStyle w:val="a3"/>
          <w:rFonts w:ascii="Times New Roman" w:hAnsi="Times New Roman" w:cs="Times New Roman"/>
          <w:b/>
          <w:sz w:val="24"/>
          <w:szCs w:val="24"/>
        </w:rPr>
        <w:t xml:space="preserve">Система оценки результатов освоения </w:t>
      </w:r>
      <w:r w:rsidR="00C94029">
        <w:rPr>
          <w:rStyle w:val="a3"/>
          <w:rFonts w:ascii="Times New Roman" w:hAnsi="Times New Roman" w:cs="Times New Roman"/>
          <w:b/>
          <w:sz w:val="24"/>
          <w:szCs w:val="24"/>
        </w:rPr>
        <w:t>образовательной п</w:t>
      </w:r>
      <w:r w:rsidRPr="00C94029">
        <w:rPr>
          <w:rStyle w:val="a3"/>
          <w:rFonts w:ascii="Times New Roman" w:hAnsi="Times New Roman" w:cs="Times New Roman"/>
          <w:b/>
          <w:sz w:val="24"/>
          <w:szCs w:val="24"/>
        </w:rPr>
        <w:t>рограммы</w:t>
      </w:r>
    </w:p>
    <w:p w:rsidR="00C94029" w:rsidRPr="00C94029" w:rsidRDefault="00C94029" w:rsidP="00C94029">
      <w:pPr>
        <w:pStyle w:val="a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10B0B" w:rsidRPr="00C94029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Текущий контроль успеваемости и промежуточной (оценки) обучающихся, установление форм оценки,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810B0B" w:rsidRPr="00C94029" w:rsidRDefault="00810B0B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94029"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152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029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C94029">
        <w:rPr>
          <w:rStyle w:val="a3"/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подготовки.</w:t>
      </w:r>
    </w:p>
    <w:p w:rsidR="00810B0B" w:rsidRPr="00C94029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</w:t>
      </w:r>
      <w:r>
        <w:rPr>
          <w:rStyle w:val="a3"/>
          <w:rFonts w:ascii="Times New Roman" w:hAnsi="Times New Roman" w:cs="Times New Roman"/>
          <w:sz w:val="24"/>
          <w:szCs w:val="24"/>
        </w:rPr>
        <w:t>енных</w:t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 руководителем организации, осуществляющей образовательную деятельность.</w:t>
      </w:r>
    </w:p>
    <w:p w:rsidR="00810B0B" w:rsidRPr="00C94029" w:rsidRDefault="00C94029" w:rsidP="00C94029">
      <w:pPr>
        <w:pStyle w:val="a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>Результаты сдачи квалификационного экзамена оформляются протоколом. Документ о квалификации (свидетельство о профессии рабочего, должности служащего),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</w:t>
      </w:r>
      <w:r>
        <w:rPr>
          <w:rStyle w:val="a3"/>
          <w:rFonts w:ascii="Times New Roman" w:hAnsi="Times New Roman" w:cs="Times New Roman"/>
          <w:sz w:val="24"/>
          <w:szCs w:val="24"/>
        </w:rPr>
        <w:t>ь.</w:t>
      </w:r>
    </w:p>
    <w:p w:rsidR="006223F5" w:rsidRDefault="00C94029" w:rsidP="00C2542E">
      <w:pPr>
        <w:pStyle w:val="a9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810B0B" w:rsidRPr="00C94029">
        <w:rPr>
          <w:rStyle w:val="a3"/>
          <w:rFonts w:ascii="Times New Roman" w:hAnsi="Times New Roman" w:cs="Times New Roman"/>
          <w:sz w:val="24"/>
          <w:szCs w:val="24"/>
        </w:rPr>
        <w:t xml:space="preserve"> Индивидуальный учет результатов освоения обучающимся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  <w:bookmarkStart w:id="1" w:name="_GoBack"/>
      <w:bookmarkEnd w:id="1"/>
    </w:p>
    <w:sectPr w:rsidR="006223F5" w:rsidSect="00C2542E"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EF" w:rsidRDefault="00130DEF" w:rsidP="00E97459">
      <w:pPr>
        <w:spacing w:after="0" w:line="240" w:lineRule="auto"/>
      </w:pPr>
      <w:r>
        <w:separator/>
      </w:r>
    </w:p>
  </w:endnote>
  <w:endnote w:type="continuationSeparator" w:id="0">
    <w:p w:rsidR="00130DEF" w:rsidRDefault="00130DEF" w:rsidP="00E9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210894"/>
      <w:docPartObj>
        <w:docPartGallery w:val="Page Numbers (Bottom of Page)"/>
        <w:docPartUnique/>
      </w:docPartObj>
    </w:sdtPr>
    <w:sdtEndPr/>
    <w:sdtContent>
      <w:p w:rsidR="00C2542E" w:rsidRDefault="00C2542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466">
          <w:rPr>
            <w:noProof/>
          </w:rPr>
          <w:t>8</w:t>
        </w:r>
        <w:r>
          <w:fldChar w:fldCharType="end"/>
        </w:r>
      </w:p>
    </w:sdtContent>
  </w:sdt>
  <w:p w:rsidR="00C2542E" w:rsidRDefault="00C254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EF" w:rsidRDefault="00130DEF" w:rsidP="00E97459">
      <w:pPr>
        <w:spacing w:after="0" w:line="240" w:lineRule="auto"/>
      </w:pPr>
      <w:r>
        <w:separator/>
      </w:r>
    </w:p>
  </w:footnote>
  <w:footnote w:type="continuationSeparator" w:id="0">
    <w:p w:rsidR="00130DEF" w:rsidRDefault="00130DEF" w:rsidP="00E9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B54"/>
    <w:multiLevelType w:val="multilevel"/>
    <w:tmpl w:val="927282A6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43BB5"/>
    <w:multiLevelType w:val="multilevel"/>
    <w:tmpl w:val="B13CF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69500FD"/>
    <w:multiLevelType w:val="hybridMultilevel"/>
    <w:tmpl w:val="CF9AFD7A"/>
    <w:lvl w:ilvl="0" w:tplc="A58A0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0EA7"/>
    <w:multiLevelType w:val="multilevel"/>
    <w:tmpl w:val="37D09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C"/>
    <w:rsid w:val="00003564"/>
    <w:rsid w:val="00053828"/>
    <w:rsid w:val="000900B8"/>
    <w:rsid w:val="000A684F"/>
    <w:rsid w:val="00130DEF"/>
    <w:rsid w:val="00186EE1"/>
    <w:rsid w:val="001B2C6B"/>
    <w:rsid w:val="001D3F9F"/>
    <w:rsid w:val="002328D8"/>
    <w:rsid w:val="0027646E"/>
    <w:rsid w:val="00281F32"/>
    <w:rsid w:val="002C58BD"/>
    <w:rsid w:val="00304067"/>
    <w:rsid w:val="00385160"/>
    <w:rsid w:val="003C29AB"/>
    <w:rsid w:val="003D3065"/>
    <w:rsid w:val="004016A5"/>
    <w:rsid w:val="004448C2"/>
    <w:rsid w:val="004736F8"/>
    <w:rsid w:val="00475825"/>
    <w:rsid w:val="004C5043"/>
    <w:rsid w:val="004D22DD"/>
    <w:rsid w:val="005755FB"/>
    <w:rsid w:val="005B2888"/>
    <w:rsid w:val="005D083D"/>
    <w:rsid w:val="006223F5"/>
    <w:rsid w:val="00661008"/>
    <w:rsid w:val="006737FC"/>
    <w:rsid w:val="00680466"/>
    <w:rsid w:val="0069448C"/>
    <w:rsid w:val="006B1CEA"/>
    <w:rsid w:val="006B7FC5"/>
    <w:rsid w:val="00707405"/>
    <w:rsid w:val="007A5051"/>
    <w:rsid w:val="007C0B8C"/>
    <w:rsid w:val="007C4883"/>
    <w:rsid w:val="00810B0B"/>
    <w:rsid w:val="00852C0E"/>
    <w:rsid w:val="00857942"/>
    <w:rsid w:val="00883E8B"/>
    <w:rsid w:val="008A4219"/>
    <w:rsid w:val="009028D4"/>
    <w:rsid w:val="00945092"/>
    <w:rsid w:val="00956ED4"/>
    <w:rsid w:val="009C1E8D"/>
    <w:rsid w:val="009C37EE"/>
    <w:rsid w:val="00A025AA"/>
    <w:rsid w:val="00A03A82"/>
    <w:rsid w:val="00AC6B74"/>
    <w:rsid w:val="00B369B8"/>
    <w:rsid w:val="00B461C1"/>
    <w:rsid w:val="00B7091D"/>
    <w:rsid w:val="00B72217"/>
    <w:rsid w:val="00BB614C"/>
    <w:rsid w:val="00C11D96"/>
    <w:rsid w:val="00C2542E"/>
    <w:rsid w:val="00C54B4C"/>
    <w:rsid w:val="00C6544F"/>
    <w:rsid w:val="00C94029"/>
    <w:rsid w:val="00D069A9"/>
    <w:rsid w:val="00D10ADA"/>
    <w:rsid w:val="00D117DD"/>
    <w:rsid w:val="00D27297"/>
    <w:rsid w:val="00D817F1"/>
    <w:rsid w:val="00D86716"/>
    <w:rsid w:val="00DD0CA2"/>
    <w:rsid w:val="00DD6473"/>
    <w:rsid w:val="00E71C93"/>
    <w:rsid w:val="00E97459"/>
    <w:rsid w:val="00EB7E11"/>
    <w:rsid w:val="00F6323C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6C499-4335-4F02-BE86-D48A6599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B4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B4C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 для Нормальный"/>
    <w:uiPriority w:val="99"/>
    <w:rsid w:val="00C54B4C"/>
    <w:rPr>
      <w:sz w:val="20"/>
    </w:rPr>
  </w:style>
  <w:style w:type="paragraph" w:customStyle="1" w:styleId="a4">
    <w:name w:val="Нормальный (таблица)"/>
    <w:basedOn w:val="a"/>
    <w:next w:val="a"/>
    <w:uiPriority w:val="99"/>
    <w:rsid w:val="00F63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4"/>
    <w:next w:val="a"/>
    <w:uiPriority w:val="99"/>
    <w:rsid w:val="00F6323C"/>
    <w:pPr>
      <w:jc w:val="center"/>
    </w:pPr>
  </w:style>
  <w:style w:type="paragraph" w:styleId="a6">
    <w:name w:val="List Paragraph"/>
    <w:basedOn w:val="a"/>
    <w:uiPriority w:val="34"/>
    <w:qFormat/>
    <w:rsid w:val="00F632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9B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28D8"/>
    <w:pPr>
      <w:spacing w:after="0" w:line="240" w:lineRule="auto"/>
    </w:pPr>
    <w:rPr>
      <w:rFonts w:eastAsiaTheme="minorEastAsi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E97459"/>
    <w:pPr>
      <w:spacing w:after="0" w:line="264" w:lineRule="auto"/>
      <w:ind w:left="134" w:right="10" w:firstLine="36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E9745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E97459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styleId="aa">
    <w:name w:val="Table Grid"/>
    <w:basedOn w:val="a1"/>
    <w:uiPriority w:val="59"/>
    <w:rsid w:val="006223F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2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54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2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54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3BA3-B480-4D77-896C-BBCCD920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Башленко</dc:creator>
  <cp:lastModifiedBy>Пользователь</cp:lastModifiedBy>
  <cp:revision>18</cp:revision>
  <cp:lastPrinted>2022-08-02T08:16:00Z</cp:lastPrinted>
  <dcterms:created xsi:type="dcterms:W3CDTF">2017-04-06T09:13:00Z</dcterms:created>
  <dcterms:modified xsi:type="dcterms:W3CDTF">2022-08-10T08:00:00Z</dcterms:modified>
</cp:coreProperties>
</file>