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7" w:rsidRPr="00C14820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14820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«Перекресток»</w:t>
      </w:r>
    </w:p>
    <w:p w:rsidR="00B72217" w:rsidRPr="00C14820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820">
        <w:rPr>
          <w:rFonts w:ascii="Times New Roman" w:eastAsia="Times New Roman" w:hAnsi="Times New Roman" w:cs="Times New Roman"/>
          <w:sz w:val="28"/>
          <w:szCs w:val="28"/>
        </w:rPr>
        <w:t>ООО «Перекресток»</w:t>
      </w:r>
    </w:p>
    <w:p w:rsidR="00B72217" w:rsidRPr="00003564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7187" w:rsidTr="002A7187">
        <w:tc>
          <w:tcPr>
            <w:tcW w:w="4785" w:type="dxa"/>
          </w:tcPr>
          <w:p w:rsidR="002A7187" w:rsidRDefault="002A71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A7187" w:rsidRDefault="002A71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</w:t>
            </w:r>
          </w:p>
          <w:p w:rsidR="002A7187" w:rsidRDefault="002A71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Западно-Сибирского </w:t>
            </w:r>
          </w:p>
          <w:p w:rsidR="002A7187" w:rsidRDefault="002A71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межрегионального управления государственного автодорожного надзора Федеральной службы по надзору в сфере транспорта  __________________Д.А.Петров</w:t>
            </w:r>
          </w:p>
          <w:p w:rsidR="002A7187" w:rsidRDefault="002A7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A7187" w:rsidRDefault="002A7187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2A7187" w:rsidRDefault="002A7187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 ООО «Перекресток»</w:t>
            </w:r>
          </w:p>
          <w:p w:rsidR="002A7187" w:rsidRDefault="002A7187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_____________Е.Ю.Мусалимов</w:t>
            </w:r>
          </w:p>
          <w:p w:rsidR="002A7187" w:rsidRDefault="002A7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«____»_______________2022 г.</w:t>
            </w:r>
          </w:p>
        </w:tc>
      </w:tr>
    </w:tbl>
    <w:p w:rsidR="00B72217" w:rsidRPr="00003564" w:rsidRDefault="00B72217" w:rsidP="00C148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06E5" w:rsidRDefault="00D206E5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06E5" w:rsidRDefault="00D206E5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06E5" w:rsidRPr="00003564" w:rsidRDefault="00D206E5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820958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206E5" w:rsidRPr="00820958" w:rsidRDefault="002C58BD" w:rsidP="00D2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2095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ОБРАЗОВАТЕЛЬНАЯ </w:t>
      </w:r>
      <w:r w:rsidR="00B72217" w:rsidRPr="0082095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ПРОГРАММА</w:t>
      </w:r>
    </w:p>
    <w:p w:rsidR="005824FC" w:rsidRPr="005824FC" w:rsidRDefault="00D206E5" w:rsidP="00D20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5824F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профессионального обучения </w:t>
      </w:r>
    </w:p>
    <w:p w:rsidR="00D206E5" w:rsidRPr="005824FC" w:rsidRDefault="00D206E5" w:rsidP="005F2B13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5824F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 </w:t>
      </w:r>
    </w:p>
    <w:p w:rsidR="00B72217" w:rsidRPr="005824FC" w:rsidRDefault="00D206E5" w:rsidP="00D20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5824FC">
        <w:rPr>
          <w:rFonts w:ascii="Times New Roman" w:eastAsia="Times New Roman" w:hAnsi="Times New Roman" w:cs="Times New Roman"/>
          <w:bCs/>
          <w:iCs/>
          <w:sz w:val="32"/>
          <w:szCs w:val="32"/>
        </w:rPr>
        <w:t>(базовый курс)</w:t>
      </w:r>
    </w:p>
    <w:p w:rsidR="00B72217" w:rsidRPr="00820958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6E5" w:rsidRDefault="00D206E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58" w:rsidRDefault="00820958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32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D206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217" w:rsidRDefault="00D206E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7F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81F3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6B7FC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4820" w:rsidRDefault="00C14820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20" w:rsidRPr="002328D8" w:rsidRDefault="00C14820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B4C" w:rsidRDefault="00C54B4C" w:rsidP="002328D8">
      <w:pPr>
        <w:pStyle w:val="1"/>
        <w:ind w:left="720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>Общие положения</w:t>
      </w:r>
    </w:p>
    <w:p w:rsidR="002328D8" w:rsidRPr="002328D8" w:rsidRDefault="002328D8" w:rsidP="002328D8">
      <w:pPr>
        <w:pStyle w:val="a9"/>
      </w:pPr>
    </w:p>
    <w:p w:rsidR="007C0B8C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C58BD">
        <w:rPr>
          <w:rStyle w:val="a3"/>
          <w:rFonts w:ascii="Times New Roman" w:hAnsi="Times New Roman" w:cs="Times New Roman"/>
          <w:sz w:val="24"/>
          <w:szCs w:val="24"/>
        </w:rPr>
        <w:t>Образовательная п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рограмма профессионального обучения по програм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>мам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повышения квалификации водителей, осуществляющих перевозки опасных грузов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Соглашением о международной дорожной перевозке опасных грузов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разработана в соответствии со статьей 73 Федерального закона от 29 декабря 2012 г. № 273-ФЗ «Об обра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зовании в Российской федерации» (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№ 53, ст. 7598; 2021, № 22 , ст. 3679)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30 июля 2020 г. № 265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 (з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арегистрирован Минюстом России 13 ноября 2020 г., регистрационный № 60894, с изменением, внесенным приказом Минтранса России от 28 сентября 2021 г. № 328 (зарегистрирован Минюстом России 29 октября 2021 г., регистрационный № 65641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Минпросвещения России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Зарегистрирован Минюстом России 11 сентября 2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020 г., регистрационный № 59784)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и предписаниями главы 8.2 Приложения В к Соглашению о международной дорожной перевозке опасных грузов от 30 сентября 1957 г.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(далее — ДОПОГ)</w:t>
      </w:r>
    </w:p>
    <w:p w:rsidR="002328D8" w:rsidRPr="002328D8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обучение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проводится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по образовательной программе, разработанной на основании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типовых программ,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утвержденных Приказом Министерства транспорта РФ (Минтранс</w:t>
      </w:r>
      <w:r w:rsidR="001D3F9F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России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) от 11.01.2022 г. «Об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грузов» (зарегистрирован </w:t>
      </w:r>
      <w:r w:rsidR="001D3F9F" w:rsidRPr="007C0B8C">
        <w:rPr>
          <w:rStyle w:val="a3"/>
          <w:rFonts w:ascii="Times New Roman" w:hAnsi="Times New Roman" w:cs="Times New Roman"/>
          <w:sz w:val="24"/>
          <w:szCs w:val="24"/>
        </w:rPr>
        <w:t xml:space="preserve">Минюстом России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15.02.2022 г., регистрационный № 67295)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54B4C" w:rsidRPr="002328D8" w:rsidRDefault="002328D8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r w:rsidR="00035DAE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оглашением о международной дорожной перевозке опасных грузов (далее - водитель, перевозящий опасные грузы).</w:t>
      </w:r>
    </w:p>
    <w:p w:rsidR="00883E8B" w:rsidRPr="00883E8B" w:rsidRDefault="002328D8" w:rsidP="00883E8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представлено общими положениями, учебными планами, содержанием тем учебных планов, планируемыми результатами освоения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и системой оценки результатов освоения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83E8B" w:rsidRDefault="000A684F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Продолжительность обучения, а также перечень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 xml:space="preserve">тем 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курса обучения устанавливается учебно-тематическим</w:t>
      </w:r>
      <w:r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Style w:val="a3"/>
          <w:rFonts w:ascii="Times New Roman" w:hAnsi="Times New Roman" w:cs="Times New Roman"/>
          <w:sz w:val="24"/>
          <w:szCs w:val="24"/>
        </w:rPr>
        <w:t>ами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83E8B" w:rsidRDefault="00883E8B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 (далее — свидетельство ДОПОГ), осуществляется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ом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представленным в Таблице 1.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имеющих действующее свидетельство ДОПОГ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ом представленным в Таблице 2.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Для получения обучающимися необходимых знаний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>программой предусматривается проведение,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0A684F" w:rsidRPr="00883E8B">
        <w:t xml:space="preserve">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0A684F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Образовательной 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0A684F">
        <w:rPr>
          <w:rStyle w:val="a3"/>
          <w:rFonts w:ascii="Times New Roman" w:hAnsi="Times New Roman" w:cs="Times New Roman"/>
          <w:sz w:val="24"/>
          <w:szCs w:val="24"/>
        </w:rPr>
        <w:t>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D86716" w:rsidRDefault="000A684F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обучение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водителей, осуществляющих перевозки опасных грузов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проводится не реже одного раза в пять лет.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57942" w:rsidRPr="002328D8" w:rsidRDefault="002328D8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D86716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обучению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и не менее трех лет.</w:t>
      </w:r>
      <w:r w:rsidR="000A684F" w:rsidRPr="000A684F">
        <w:rPr>
          <w:rStyle w:val="a3"/>
          <w:rFonts w:ascii="Times New Roman" w:hAnsi="Times New Roman" w:cs="Times New Roman"/>
          <w:sz w:val="24"/>
          <w:szCs w:val="24"/>
        </w:rPr>
        <w:t xml:space="preserve">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1" w:name="_Toc402796698"/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К профессиональному обучению водителей, осуществляющих перевозки опасных грузов, в соответствии с учебным планом,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>представленным в Таблице 2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, допускаются водители, соответствующие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указанным выше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>требованиям и имеющие действующее свидетельство ДОПОГ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D86716" w:rsidRDefault="00D86716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sz w:val="24"/>
          <w:szCs w:val="24"/>
        </w:rPr>
        <w:t>включают: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учебный план; календарный учебный график;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образовательную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рограмму; методические материалы и разработки; расписание занятий.</w:t>
      </w:r>
    </w:p>
    <w:p w:rsidR="00857942" w:rsidRPr="002328D8" w:rsidRDefault="00857942" w:rsidP="00857942">
      <w:pPr>
        <w:spacing w:line="240" w:lineRule="auto"/>
        <w:ind w:firstLine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bookmarkEnd w:id="1"/>
    <w:p w:rsidR="00810B0B" w:rsidRDefault="00F6323C" w:rsidP="00DD0CA2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>Учебно-тематический план</w:t>
      </w:r>
      <w:r w:rsidR="000A684F">
        <w:rPr>
          <w:rFonts w:ascii="Times New Roman" w:hAnsi="Times New Roman" w:cs="Times New Roman"/>
          <w:u w:val="none"/>
        </w:rPr>
        <w:t xml:space="preserve"> о</w:t>
      </w:r>
      <w:r w:rsidR="000A684F" w:rsidRPr="000A684F">
        <w:rPr>
          <w:rFonts w:ascii="Times New Roman" w:hAnsi="Times New Roman" w:cs="Times New Roman"/>
          <w:u w:val="none"/>
        </w:rPr>
        <w:t>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</w:t>
      </w:r>
    </w:p>
    <w:p w:rsidR="00F6323C" w:rsidRPr="00D86716" w:rsidRDefault="00D86716" w:rsidP="00810B0B">
      <w:pPr>
        <w:pStyle w:val="1"/>
        <w:jc w:val="right"/>
        <w:rPr>
          <w:rStyle w:val="a3"/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u w:val="none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938"/>
        <w:gridCol w:w="1406"/>
        <w:gridCol w:w="1483"/>
        <w:gridCol w:w="1488"/>
      </w:tblGrid>
      <w:tr w:rsidR="00F6323C" w:rsidRPr="002328D8" w:rsidTr="00F6323C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C14820" w:rsidP="00C14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F6323C" w:rsidRPr="002328D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</w:t>
            </w:r>
            <w:r w:rsidR="00F6323C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810B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Общие требования, регулирующие перевозку опасных грузов,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0900B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</w:t>
            </w:r>
            <w:r w:rsidR="000900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</w:t>
            </w:r>
            <w:r w:rsidR="000900B8">
              <w:rPr>
                <w:rFonts w:ascii="Times New Roman" w:hAnsi="Times New Roman" w:cs="Times New Roman"/>
                <w:sz w:val="24"/>
                <w:szCs w:val="24"/>
              </w:rPr>
              <w:t>, таре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C11D96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0900B8">
        <w:trPr>
          <w:trHeight w:val="1298"/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0900B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</w:t>
            </w:r>
            <w:r w:rsidR="000900B8">
              <w:rPr>
                <w:rFonts w:ascii="Times New Roman" w:hAnsi="Times New Roman" w:cs="Times New Roman"/>
                <w:sz w:val="24"/>
                <w:szCs w:val="24"/>
              </w:rPr>
              <w:t>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C11D96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6323C" w:rsidRPr="002328D8" w:rsidRDefault="00F6323C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Default="00F6323C" w:rsidP="00810B0B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 xml:space="preserve">Учебно-тематический план </w:t>
      </w:r>
      <w:r w:rsidR="00810B0B" w:rsidRPr="00810B0B">
        <w:rPr>
          <w:rFonts w:ascii="Times New Roman" w:hAnsi="Times New Roman" w:cs="Times New Roman"/>
          <w:u w:val="none"/>
        </w:rPr>
        <w:t>обучени</w:t>
      </w:r>
      <w:r w:rsidR="00810B0B">
        <w:rPr>
          <w:rFonts w:ascii="Times New Roman" w:hAnsi="Times New Roman" w:cs="Times New Roman"/>
          <w:u w:val="none"/>
        </w:rPr>
        <w:t>я</w:t>
      </w:r>
      <w:r w:rsidR="00810B0B" w:rsidRPr="00810B0B">
        <w:rPr>
          <w:rFonts w:ascii="Times New Roman" w:hAnsi="Times New Roman" w:cs="Times New Roman"/>
          <w:u w:val="none"/>
        </w:rPr>
        <w:t xml:space="preserve"> водителей, осуществляющих перевозки опасных грузов, имеющих действующее свидетельство ДОПОГ</w:t>
      </w:r>
    </w:p>
    <w:p w:rsidR="00810B0B" w:rsidRPr="00D86716" w:rsidRDefault="00D86716" w:rsidP="00D86716">
      <w:pPr>
        <w:pStyle w:val="1"/>
        <w:jc w:val="right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i/>
          <w:u w:val="none"/>
        </w:rPr>
        <w:t>Таблица 2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934"/>
        <w:gridCol w:w="1270"/>
        <w:gridCol w:w="1483"/>
        <w:gridCol w:w="1483"/>
      </w:tblGrid>
      <w:tr w:rsidR="00F6323C" w:rsidRPr="002328D8" w:rsidTr="00F6323C">
        <w:trPr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C14820" w:rsidP="00C14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0900B8" w:rsidP="000900B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Маркировка, знаки опасности и </w:t>
            </w:r>
            <w:r w:rsidR="00F6323C" w:rsidRPr="002328D8">
              <w:rPr>
                <w:rFonts w:ascii="Times New Roman" w:hAnsi="Times New Roman" w:cs="Times New Roman"/>
                <w:sz w:val="24"/>
                <w:szCs w:val="24"/>
              </w:rPr>
              <w:t>таблички оранжевого цвета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</w:t>
            </w:r>
            <w:r w:rsidR="000900B8">
              <w:rPr>
                <w:rFonts w:ascii="Times New Roman" w:hAnsi="Times New Roman" w:cs="Times New Roman"/>
                <w:sz w:val="24"/>
                <w:szCs w:val="24"/>
              </w:rPr>
              <w:t>, таре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и цистернам, упаковкам и дополнительному оборудованию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0900B8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мультимодальных перевозок 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грузов, осуществляемых с участием автотранспортных средств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23C" w:rsidRPr="002328D8" w:rsidTr="00F6323C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3C" w:rsidRPr="002328D8" w:rsidRDefault="00F6323C" w:rsidP="00F6323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6323C" w:rsidRPr="002328D8" w:rsidRDefault="00F6323C" w:rsidP="00F6323C">
      <w:pPr>
        <w:rPr>
          <w:rFonts w:ascii="Times New Roman" w:hAnsi="Times New Roman" w:cs="Times New Roman"/>
          <w:sz w:val="24"/>
          <w:szCs w:val="24"/>
        </w:rPr>
      </w:pPr>
    </w:p>
    <w:p w:rsidR="00F6323C" w:rsidRPr="008A4219" w:rsidRDefault="00F6323C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F2B13">
        <w:rPr>
          <w:rFonts w:ascii="Times New Roman" w:hAnsi="Times New Roman" w:cs="Times New Roman"/>
          <w:b/>
          <w:sz w:val="24"/>
          <w:szCs w:val="24"/>
        </w:rPr>
        <w:t>тем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учебно-тематическ</w:t>
      </w:r>
      <w:r w:rsidR="005F2B13">
        <w:rPr>
          <w:rFonts w:ascii="Times New Roman" w:hAnsi="Times New Roman" w:cs="Times New Roman"/>
          <w:b/>
          <w:sz w:val="24"/>
          <w:szCs w:val="24"/>
        </w:rPr>
        <w:t>их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F2B13">
        <w:rPr>
          <w:rFonts w:ascii="Times New Roman" w:hAnsi="Times New Roman" w:cs="Times New Roman"/>
          <w:b/>
          <w:sz w:val="24"/>
          <w:szCs w:val="24"/>
        </w:rPr>
        <w:t>ов</w:t>
      </w:r>
    </w:p>
    <w:p w:rsidR="00F6323C" w:rsidRPr="008A4219" w:rsidRDefault="00F6323C" w:rsidP="008A4219">
      <w:pPr>
        <w:pStyle w:val="a9"/>
      </w:pPr>
    </w:p>
    <w:p w:rsidR="006B1CEA" w:rsidRPr="008A4219" w:rsidRDefault="00F6323C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>Общие требования, регулиру</w:t>
      </w:r>
      <w:r w:rsidR="00E97459">
        <w:rPr>
          <w:rFonts w:ascii="Times New Roman" w:hAnsi="Times New Roman" w:cs="Times New Roman"/>
          <w:b/>
          <w:sz w:val="24"/>
          <w:szCs w:val="24"/>
        </w:rPr>
        <w:t xml:space="preserve">ющие перевозку опасных грузов, </w:t>
      </w:r>
      <w:r w:rsidR="00E97459" w:rsidRPr="008A4219">
        <w:rPr>
          <w:rFonts w:ascii="Times New Roman" w:hAnsi="Times New Roman" w:cs="Times New Roman"/>
          <w:b/>
          <w:sz w:val="24"/>
          <w:szCs w:val="24"/>
        </w:rPr>
        <w:t>роль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ДОПОГ</w:t>
      </w:r>
    </w:p>
    <w:p w:rsidR="00E97459" w:rsidRPr="00E97459" w:rsidRDefault="002328D8" w:rsidP="00E97459">
      <w:pPr>
        <w:pStyle w:val="a9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 xml:space="preserve">Общие сведения о ДОПОГ. Присоединение Российской Федерации к ДОПОГ. Структура Приложения А и Приложения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>В к</w:t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 xml:space="preserve">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Основные положения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регламенты,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F6323C" w:rsidRPr="002328D8" w:rsidRDefault="00F6323C" w:rsidP="00E97459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Pr="008A4219" w:rsidRDefault="00F6323C" w:rsidP="008A421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>Основные виды опасности при перевозках опасных грузов и меры по защите окружающей среды. Контроль за перевозкой отходов</w:t>
      </w:r>
    </w:p>
    <w:p w:rsidR="00F6323C" w:rsidRPr="002328D8" w:rsidRDefault="008A421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6323C" w:rsidRPr="002328D8">
        <w:rPr>
          <w:rStyle w:val="a3"/>
          <w:rFonts w:ascii="Times New Roman" w:hAnsi="Times New Roman" w:cs="Times New Roman"/>
          <w:sz w:val="24"/>
          <w:szCs w:val="24"/>
        </w:rPr>
        <w:t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:rsidR="00F6323C" w:rsidRPr="002328D8" w:rsidRDefault="008A421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6323C" w:rsidRPr="002328D8">
        <w:rPr>
          <w:rStyle w:val="a3"/>
          <w:rFonts w:ascii="Times New Roman" w:hAnsi="Times New Roman" w:cs="Times New Roman"/>
          <w:sz w:val="24"/>
          <w:szCs w:val="24"/>
        </w:rPr>
        <w:t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</w:t>
      </w:r>
      <w:r>
        <w:rPr>
          <w:rStyle w:val="a3"/>
          <w:rFonts w:ascii="Times New Roman" w:hAnsi="Times New Roman" w:cs="Times New Roman"/>
          <w:sz w:val="24"/>
          <w:szCs w:val="24"/>
        </w:rPr>
        <w:t>ению контроля за их перевозкой.</w:t>
      </w:r>
    </w:p>
    <w:p w:rsidR="00E97459" w:rsidRDefault="00E97459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3C" w:rsidRPr="008A4219" w:rsidRDefault="00F6323C" w:rsidP="008A421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>Классификация и общая характеристика опасных грузов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Принципы классификации. Классификация опасных грузов в соответствии с ДОПОГ. Таблица А Приложения А к ДОПОГ. Классы и четырехзначный идентификационный номер вещества или изделия, взятый из Типовых правил Организации Объединенных Наций. Надлежащее отгрузочное наименование опасных грузов.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 xml:space="preserve"> Грузы повышенной опасности.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 </w:t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Опасные грузы, запрещаемые к перевозке автотранспортными средствами.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 xml:space="preserve"> Практическое занятие направлено на пользование таблицей А «Перечень опасных грузов» Приложения А к ДОПОГ по предлагаемым видам опасных грузов.</w:t>
      </w:r>
    </w:p>
    <w:p w:rsidR="00F6323C" w:rsidRPr="002328D8" w:rsidRDefault="00F6323C" w:rsidP="008A4219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Pr="008A4219" w:rsidRDefault="00E97459" w:rsidP="008A421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Маркировка, знаки опасности </w:t>
      </w:r>
      <w:r w:rsidR="00F6323C" w:rsidRPr="008A4219">
        <w:rPr>
          <w:rFonts w:ascii="Times New Roman" w:hAnsi="Times New Roman" w:cs="Times New Roman"/>
          <w:b/>
          <w:sz w:val="24"/>
          <w:szCs w:val="24"/>
        </w:rPr>
        <w:t>и таблички оранжевого цвета</w:t>
      </w:r>
    </w:p>
    <w:p w:rsidR="00E97459" w:rsidRPr="00E97459" w:rsidRDefault="008A421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Содержание маркировки и требования ДОПОГ по ее нанесению на изделия, упаковки, контейнеры, цистерны и специальные транспортные средства при перевозках опасных грузов. Типы и правила маркировки.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Знаки опасности, их виды и требования к размещению при перевозках опасных грузов. Маркировочный знак для веществ, перевозимых при высокой температуре. Маркировочный знак вещества, опасного для окружающей среды. Маркировочный знак литиевых батарей.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Маркировка транспортных средств, цистерн и контейнеров с использованием табличек оранжевого цвета. Технические требования к ним и требования по их размещению.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Маркировка фумигированных транспортных средств и контейнеров.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Требования по информационному обеспечению, включая оформление соответствующих транспортных документов.</w:t>
      </w:r>
    </w:p>
    <w:p w:rsid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Маркировка упаковок, транспортных средств, контейнеров, содержащих вещества, представляющих опасность асфиксии при использовании для целей охлаждения или кондиционирования.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F6323C" w:rsidRPr="002328D8" w:rsidRDefault="00F6323C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Pr="008A4219" w:rsidRDefault="00F6323C" w:rsidP="008A421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>Требования к транспортным средствам, контейнерам, таре</w:t>
      </w:r>
      <w:r w:rsidR="00E9745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59">
        <w:rPr>
          <w:rFonts w:ascii="Times New Roman" w:hAnsi="Times New Roman" w:cs="Times New Roman"/>
          <w:b/>
          <w:sz w:val="24"/>
          <w:szCs w:val="24"/>
        </w:rPr>
        <w:t xml:space="preserve">цистернам, </w:t>
      </w:r>
      <w:r w:rsidRPr="008A4219">
        <w:rPr>
          <w:rFonts w:ascii="Times New Roman" w:hAnsi="Times New Roman" w:cs="Times New Roman"/>
          <w:b/>
          <w:sz w:val="24"/>
          <w:szCs w:val="24"/>
        </w:rPr>
        <w:t>упаковкам и дополнительному оборудованию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Транспортные средства для перевозок опасных грузов в таре и упаковках, навалом/насыпью, с регулируемой температурой,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 ДОПОГ: АТ, EX/II, EX/III, FL и МЕМЕЈ. Их назначение и краткое описание. Система технического осмотра и допуска автотранспортных средств к перевозке опасных грузов.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 Проблесковые маяки желтого или оранжевого цвета.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I“JIOHACC/GPS, контрольно-измерительные приборы, тахографы. Средства пожаротушения. Огнетушители и их характеристики. Противооткатные башмаки, аварийный жилет, жидкость для промывания глаз, очки, предупреждающие знаки с собственной опорой, лопата, переносной осветительный прибор.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Требования к изготовлению и испытанию тары, сосудов под давлением, контейнеров средней грузоподъемности для массовых грузов (далее — КСМ) и крупногабаритной таре. Код тары, КСМ, крупногабаритной тары и особенности нанесение на них маркировочных знаков. Требования к изготовлению, испытанию и особенности маркировки тары для инфекционных веществ.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Виды контейнеров и их назначение. Технические требования к ним. Предварительная проверка контейнера перед загрузкой опасного груза.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Требования к упаковке.</w:t>
      </w:r>
    </w:p>
    <w:p w:rsid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C14820" w:rsidRDefault="00C14820" w:rsidP="008A4219">
      <w:pPr>
        <w:pStyle w:val="1"/>
        <w:rPr>
          <w:rFonts w:ascii="Times New Roman" w:hAnsi="Times New Roman" w:cs="Times New Roman"/>
          <w:u w:val="none"/>
        </w:rPr>
      </w:pPr>
    </w:p>
    <w:p w:rsidR="00F6323C" w:rsidRPr="008A4219" w:rsidRDefault="00F6323C" w:rsidP="008A4219">
      <w:pPr>
        <w:pStyle w:val="1"/>
        <w:rPr>
          <w:rStyle w:val="a3"/>
          <w:rFonts w:ascii="Times New Roman" w:hAnsi="Times New Roman" w:cs="Times New Roman"/>
          <w:sz w:val="24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>Транспортно-сопроводительные документы при перев</w:t>
      </w:r>
      <w:r w:rsidR="008A4219">
        <w:rPr>
          <w:rFonts w:ascii="Times New Roman" w:hAnsi="Times New Roman" w:cs="Times New Roman"/>
          <w:u w:val="none"/>
        </w:rPr>
        <w:t>озке опасных грузов</w:t>
      </w:r>
    </w:p>
    <w:p w:rsidR="00E97459" w:rsidRPr="00E97459" w:rsidRDefault="008A421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— международная товарно-транспортная накладная CNR),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тару, свидетельство ДОПОГ о подготовке водителя, письменная инструкция, специальное разрешение на движение по автомобильным дорогам тяжеловесного и (или) крупногабаритного транспортного средства (в случае необходимости), специальные разрешения на движение по автомобильным дорогам транспортного средства, осуществляющего перевозки опасных грузов на территории Российской Федерации и при международной перевозке,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Требования к содержанию и порядку заполнения транспортно</w:t>
      </w:r>
      <w:r w:rsidR="00D206E5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сопроводительных документов.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  <w:r w:rsidRPr="00E9745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59" w:rsidRDefault="008A4219" w:rsidP="00E97459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</w:p>
    <w:p w:rsidR="00E97459" w:rsidRDefault="00E97459" w:rsidP="008A4219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8A4219" w:rsidRPr="00E97459" w:rsidRDefault="00F6323C" w:rsidP="00E9745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E97459">
        <w:rPr>
          <w:rStyle w:val="a3"/>
          <w:rFonts w:ascii="Times New Roman" w:hAnsi="Times New Roman" w:cs="Times New Roman"/>
          <w:b/>
          <w:sz w:val="24"/>
          <w:szCs w:val="24"/>
        </w:rPr>
        <w:t>Организация перевозок опасных грузов</w:t>
      </w:r>
    </w:p>
    <w:p w:rsidR="00E97459" w:rsidRPr="00E97459" w:rsidRDefault="008A421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="00E97459"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Подготовительные меры к осуществлению перевозок опасных грузов</w:t>
      </w:r>
      <w:r w:rsidR="004736F8">
        <w:rPr>
          <w:rStyle w:val="a3"/>
          <w:rFonts w:ascii="Times New Roman" w:hAnsi="Times New Roman" w:cs="Times New Roman"/>
          <w:sz w:val="24"/>
          <w:szCs w:val="24"/>
        </w:rPr>
        <w:t xml:space="preserve"> (оформление необходимых </w:t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транспортно-сопроводительных</w:t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ab/>
        <w:t>документов, предрейсовый осмотр транспортного средства, предрейсовый и послерейсовый медицинский осмотр водителя).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Правила перевозки грузов автомобильным транспортом</w:t>
      </w:r>
      <w:r w:rsidRPr="004736F8">
        <w:rPr>
          <w:rStyle w:val="a3"/>
          <w:rFonts w:ascii="Times New Roman" w:hAnsi="Times New Roman" w:cs="Times New Roman"/>
          <w:sz w:val="16"/>
          <w:szCs w:val="16"/>
        </w:rPr>
        <w:footnoteReference w:id="1"/>
      </w:r>
      <w:r w:rsidRPr="004736F8">
        <w:rPr>
          <w:rStyle w:val="a3"/>
          <w:rFonts w:ascii="Times New Roman" w:hAnsi="Times New Roman" w:cs="Times New Roman"/>
          <w:sz w:val="16"/>
          <w:szCs w:val="16"/>
        </w:rPr>
        <w:t xml:space="preserve"> </w:t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E97459" w:rsidRPr="00E97459" w:rsidRDefault="004736F8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 xml:space="preserve">Меры по обеспечению безопасности во время движения транспортного </w:t>
      </w:r>
      <w:r w:rsidR="00E97459" w:rsidRPr="00E9745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E97459" w:rsidRPr="00E97459" w:rsidRDefault="004736F8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E97459" w:rsidRPr="00E97459" w:rsidRDefault="004736F8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E97459" w:rsidRPr="00E97459" w:rsidRDefault="00E97459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9745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4380230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F8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97459">
        <w:rPr>
          <w:rStyle w:val="a3"/>
          <w:rFonts w:ascii="Times New Roman" w:hAnsi="Times New Roman" w:cs="Times New Roman"/>
          <w:sz w:val="24"/>
          <w:szCs w:val="24"/>
        </w:rPr>
        <w:t>Требования к организации перевозок грузов повышенной опасности. Особенности перевозок опасных грузов в международном сообщении.</w:t>
      </w:r>
    </w:p>
    <w:p w:rsidR="00E97459" w:rsidRPr="00E97459" w:rsidRDefault="004736F8" w:rsidP="00E9745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E97459" w:rsidRPr="00E97459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7C4883" w:rsidRPr="002328D8" w:rsidRDefault="007C4883" w:rsidP="00E97459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7C488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20958" w:rsidRDefault="00820958" w:rsidP="007C488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C4883" w:rsidRPr="007C4883" w:rsidRDefault="00F6323C" w:rsidP="007C4883">
      <w:pPr>
        <w:pStyle w:val="a9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4736F8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</w:t>
      </w:r>
      <w:r w:rsidRPr="007C4883">
        <w:rPr>
          <w:rFonts w:ascii="Times New Roman" w:hAnsi="Times New Roman" w:cs="Times New Roman"/>
          <w:b/>
        </w:rPr>
        <w:t xml:space="preserve"> и ответственность водителя и других уча</w:t>
      </w:r>
      <w:r w:rsidR="007C4883" w:rsidRPr="007C4883">
        <w:rPr>
          <w:rFonts w:ascii="Times New Roman" w:hAnsi="Times New Roman" w:cs="Times New Roman"/>
          <w:b/>
        </w:rPr>
        <w:t>стников перевозок опасных грузов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Контроль за перевозками опасных грузов.</w:t>
      </w:r>
    </w:p>
    <w:p w:rsidR="00F6323C" w:rsidRPr="007C4883" w:rsidRDefault="004736F8" w:rsidP="004736F8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r w:rsidRPr="00ED0AF2">
        <w:rPr>
          <w:noProof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3C" w:rsidRPr="007C4883" w:rsidRDefault="00F6323C" w:rsidP="007C4883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C4883">
        <w:rPr>
          <w:rFonts w:ascii="Times New Roman" w:hAnsi="Times New Roman" w:cs="Times New Roman"/>
          <w:b/>
          <w:sz w:val="24"/>
          <w:szCs w:val="24"/>
        </w:rPr>
        <w:t>Меры по обеспечению безопасности при перевозке, погрузке и разгрузке опасных грузов</w:t>
      </w:r>
    </w:p>
    <w:p w:rsidR="004736F8" w:rsidRPr="004736F8" w:rsidRDefault="007C4883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4736F8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736F8" w:rsidRPr="004736F8">
        <w:rPr>
          <w:rStyle w:val="a3"/>
          <w:rFonts w:ascii="Times New Roman" w:hAnsi="Times New Roman" w:cs="Times New Roman"/>
          <w:sz w:val="24"/>
          <w:szCs w:val="24"/>
        </w:rPr>
        <w:t>Проверка состояния водителя, автомобиля и груза перед рейсом. Предрейсовый инструктаж водителя.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F6323C" w:rsidRPr="007C4883" w:rsidRDefault="00F6323C" w:rsidP="004736F8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4736F8" w:rsidRPr="004736F8" w:rsidRDefault="004736F8" w:rsidP="004736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F8">
        <w:rPr>
          <w:rFonts w:ascii="Times New Roman" w:hAnsi="Times New Roman" w:cs="Times New Roman"/>
          <w:b/>
          <w:sz w:val="24"/>
          <w:szCs w:val="24"/>
        </w:rPr>
        <w:t>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</w:p>
    <w:p w:rsidR="004736F8" w:rsidRPr="004736F8" w:rsidRDefault="007C4883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F6323C" w:rsidRPr="007C488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736F8">
        <w:rPr>
          <w:rStyle w:val="a3"/>
          <w:rFonts w:ascii="Times New Roman" w:hAnsi="Times New Roman" w:cs="Times New Roman"/>
          <w:sz w:val="24"/>
          <w:szCs w:val="24"/>
        </w:rPr>
        <w:tab/>
      </w:r>
      <w:r w:rsidR="004736F8" w:rsidRPr="004736F8">
        <w:rPr>
          <w:rStyle w:val="a3"/>
          <w:rFonts w:ascii="Times New Roman" w:hAnsi="Times New Roman" w:cs="Times New Roman"/>
          <w:sz w:val="24"/>
          <w:szCs w:val="24"/>
        </w:rPr>
        <w:t>Письменные инструкции и действия водителя при возникновении аварийных ситуаций в соответствии с ДОПОГ. Меры безопасности.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Оповещение соответствующих аварийных служб. Средства связи и информации, используемые в случае аварии.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Использование дополнительного оборудования транспортных средств для предотвращения утечек в окружающую среду или канализационную систему. Локализация просыпавшихся или пролившихся веществ.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Аптечка для оказания первой помощи пострадавшим в дорожно-транспортных происшествиях (автомобильная).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 xml:space="preserve"> Требования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F6323C" w:rsidRPr="007C4883" w:rsidRDefault="00F6323C" w:rsidP="004736F8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Pr="007C4883" w:rsidRDefault="00F6323C" w:rsidP="007C4883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C4883">
        <w:rPr>
          <w:rFonts w:ascii="Times New Roman" w:hAnsi="Times New Roman" w:cs="Times New Roman"/>
          <w:b/>
          <w:sz w:val="24"/>
          <w:szCs w:val="24"/>
        </w:rPr>
        <w:t>Изъятия, ограничения и вопросы совместимости при перевозках опасных грузов</w:t>
      </w:r>
    </w:p>
    <w:p w:rsid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Сфера применения ДОПОГ при перевозках опасных грузов.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 xml:space="preserve"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Изъятия, предусмотренные ДОПОГ, в том числе,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 (раздел 1.1.3 Приложения А к </w:t>
      </w:r>
      <w:r>
        <w:rPr>
          <w:rStyle w:val="a3"/>
          <w:rFonts w:ascii="Times New Roman" w:hAnsi="Times New Roman" w:cs="Times New Roman"/>
          <w:sz w:val="24"/>
          <w:szCs w:val="24"/>
        </w:rPr>
        <w:t>ДОПОГ</w:t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Ограничения при перевозках опасных грузов в автодорожных тоннелях.</w:t>
      </w:r>
    </w:p>
    <w:p w:rsid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4736F8" w:rsidRPr="004736F8" w:rsidRDefault="004736F8" w:rsidP="004736F8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736F8">
        <w:rPr>
          <w:rStyle w:val="a3"/>
          <w:rFonts w:ascii="Times New Roman" w:hAnsi="Times New Roman" w:cs="Times New Roman"/>
          <w:sz w:val="24"/>
          <w:szCs w:val="24"/>
        </w:rPr>
        <w:t xml:space="preserve">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7C4883" w:rsidRDefault="007C4883" w:rsidP="007C4883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F6323C" w:rsidRPr="007C4883" w:rsidRDefault="00F6323C" w:rsidP="007C4883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C4883">
        <w:rPr>
          <w:rFonts w:ascii="Times New Roman" w:hAnsi="Times New Roman" w:cs="Times New Roman"/>
          <w:b/>
        </w:rPr>
        <w:t>Особенности мультимодальных перевозок опасных грузов, осуществляемых с участием автотранспортных средств</w:t>
      </w:r>
    </w:p>
    <w:p w:rsidR="00281F32" w:rsidRPr="00281F32" w:rsidRDefault="007C4883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транспортно-сопроводительных документов и соблюдение требований, действующих на других видах транспорта, при осуществлении мультимодальньж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:rsidR="00F6323C" w:rsidRPr="002328D8" w:rsidRDefault="00F6323C" w:rsidP="007C4883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7C48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58" w:rsidRDefault="00F6323C" w:rsidP="00D117D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8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6323C" w:rsidRPr="00820958" w:rsidRDefault="00F6323C" w:rsidP="00820958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 w:rsidRP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освоения </w:t>
      </w:r>
      <w:r w:rsid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образовательной п</w:t>
      </w:r>
      <w:r w:rsidRP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рограммы обучающийся должен знать:</w:t>
      </w:r>
    </w:p>
    <w:p w:rsidR="00281F32" w:rsidRDefault="007C4883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общие требования, регулирующие перевозки опасных грузов;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основные виды опасности и меры по защите окружающей среды при перевозках опасных грузов, включая осуществление </w:t>
      </w:r>
      <w:r>
        <w:rPr>
          <w:rStyle w:val="a3"/>
          <w:rFonts w:ascii="Times New Roman" w:hAnsi="Times New Roman" w:cs="Times New Roman"/>
          <w:sz w:val="24"/>
          <w:szCs w:val="24"/>
        </w:rPr>
        <w:t>контроля за перевозкой отходов;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распространенные причины аварий, связанные с перевозкой опасных грузов автотранспортными средствами, и последствия таких аварий; </w:t>
      </w:r>
    </w:p>
    <w:p w:rsidR="00281F32" w:rsidRP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 общие требования к упаковкам, крупногабаритной таре, контейнерам и цистернам, используемым для перевозки опасных грузов;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требования к транспортным средствам, дополнительному оборудованию и средствам пожаротушения, используемых при перевозках опасных грузов;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маркировку, знаки опасности и таблички оранжевого цвета;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ДОПОГ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разрешения на движение по автомобильным дорогам тяжеловесного и (или) крупногабаритного транспортного средства </w:t>
      </w:r>
      <w:r w:rsidRPr="00281F32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и другие документы, необходимые для перевозки опасных грузов;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способы перевозки и ограничения, связанные с количеством перевозимых опасных грузов; перевозки грузов повышенной опасности;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совместимость при перевозках опасных грузов и меры по обеспечению безопасности;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специальные требования к совместной перевозке опасных грузов и продукции, не относящейся к категории опасных веществ и изделий;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требования к перевозке опасных грузов без превышения максимальных количеств, указанных в подразделе 1.13.6 Приложения А к ДОПОГ;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требования по очистке и (или) дегазации транспортных средств, тары, контейнеров и цистерн при перевозках опасных грузов;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обязанности и ответственность при перевозках опасных грузов, виды гражданской ответственности;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особенности мультимодальных перевозок опасных грузов, осуществляемых с участием автотранспортных средств;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требования к водителю и другим членам экипажа транспортного средства, осуществляющего перевозки опасных грузов; </w:t>
      </w:r>
    </w:p>
    <w:p w:rsidR="00281F32" w:rsidRP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:rsidR="00F6323C" w:rsidRPr="00820958" w:rsidRDefault="00281F32" w:rsidP="00820958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освоения </w:t>
      </w:r>
      <w:r w:rsid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образовательной п</w:t>
      </w:r>
      <w:r w:rsidRP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рограммы о</w:t>
      </w:r>
      <w:r w:rsidR="00F6323C" w:rsidRPr="0082095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бучающийся должен уметь: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проверять пригодность к перевозке опасных грузов транспортных средств, тары, контейнеров, средств крепления грузов;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проверять пригодность к эксплуатации дополнительного оборудования на транспортном средстве и устройств для погрузочно-разгрузочных операций;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проверять пригодность к эксплуатации бортовых устройств информационного обеспечения и уметь ими пользоваться; </w:t>
      </w:r>
    </w:p>
    <w:p w:rsid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проверять соответствие транспортно-сопроводительных документов нормативным требованиям и заполнять их в установленных случаях; использовать письменные инструкции в соответствии с ДОПОГ; </w:t>
      </w:r>
    </w:p>
    <w:p w:rsidR="00281F32" w:rsidRP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281F32" w:rsidRPr="00281F32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281F32">
        <w:rPr>
          <w:rStyle w:val="a3"/>
          <w:rFonts w:ascii="Times New Roman" w:hAnsi="Times New Roman" w:cs="Times New Roman"/>
          <w:sz w:val="24"/>
          <w:szCs w:val="24"/>
        </w:rPr>
        <w:t>оказывать помощь пострадавшим при дорожно-транспортном происшествии или аварии; проводить работы по ликвидации последствий дорожно-транспортного происшествия или аварии при перевозке опасных грузов.</w:t>
      </w:r>
    </w:p>
    <w:p w:rsidR="00D117DD" w:rsidRDefault="00D117DD" w:rsidP="00F6323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206E5" w:rsidRPr="00810B0B" w:rsidRDefault="00D206E5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Условия реализации обеспечива</w:t>
      </w:r>
      <w:r>
        <w:rPr>
          <w:rStyle w:val="a3"/>
          <w:rFonts w:ascii="Times New Roman" w:hAnsi="Times New Roman" w:cs="Times New Roman"/>
          <w:sz w:val="24"/>
          <w:szCs w:val="24"/>
        </w:rPr>
        <w:t>ют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</w:t>
      </w:r>
      <w:r>
        <w:rPr>
          <w:rStyle w:val="a3"/>
          <w:rFonts w:ascii="Times New Roman" w:hAnsi="Times New Roman" w:cs="Times New Roman"/>
          <w:sz w:val="24"/>
          <w:szCs w:val="24"/>
        </w:rPr>
        <w:t>оения Программы в полном объеме,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соответствие применяемых форм, средств и методов обучения с учетом особенностей перевозок опасных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Теоретическое обучение проводиться в оборудованных учебных аудиториях, отвечающих материально-техническим и информационно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методическим требованиям.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один академический час (45 минут).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Время, отводимое </w:t>
      </w:r>
      <w:r>
        <w:rPr>
          <w:rStyle w:val="a3"/>
          <w:rFonts w:ascii="Times New Roman" w:hAnsi="Times New Roman" w:cs="Times New Roman"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рограммой, на проведение практических занятий по вопросам оказания первой помощи,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lastRenderedPageBreak/>
        <w:t>тушения пожара и иных действий, согласно письменным инструкциям, предусмотренным ДОПОГ, выделяется в объеме, предусмотренном программой, из расчета один академический час на пять обучающихся.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Педагогическую деятельность осуществля</w:t>
      </w:r>
      <w:r>
        <w:rPr>
          <w:rStyle w:val="a3"/>
          <w:rFonts w:ascii="Times New Roman" w:hAnsi="Times New Roman" w:cs="Times New Roman"/>
          <w:sz w:val="24"/>
          <w:szCs w:val="24"/>
        </w:rPr>
        <w:t>ю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т лица, имеющие среднее профессиональное или высшее образование и отвечающие квалификационным требованиям, указанным </w:t>
      </w:r>
      <w:r>
        <w:rPr>
          <w:rStyle w:val="a3"/>
          <w:rFonts w:ascii="Times New Roman" w:hAnsi="Times New Roman" w:cs="Times New Roman"/>
          <w:sz w:val="24"/>
          <w:szCs w:val="24"/>
        </w:rPr>
        <w:t>в квалификационных справочниках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№ 257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</w:t>
      </w:r>
      <w:r w:rsidRPr="00810B0B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Материально-технические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="00820958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Pr="00C14820" w:rsidRDefault="00C14820" w:rsidP="00C14820">
      <w:pPr>
        <w:pStyle w:val="a9"/>
        <w:jc w:val="right"/>
        <w:rPr>
          <w:rStyle w:val="a3"/>
          <w:rFonts w:ascii="Times New Roman" w:hAnsi="Times New Roman" w:cs="Times New Roman"/>
          <w:b/>
          <w:i/>
          <w:sz w:val="24"/>
          <w:szCs w:val="24"/>
        </w:rPr>
      </w:pPr>
      <w:r w:rsidRPr="00C14820">
        <w:rPr>
          <w:rStyle w:val="a3"/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7986" w:type="dxa"/>
        <w:tblInd w:w="77" w:type="dxa"/>
        <w:tblCellMar>
          <w:top w:w="3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4135"/>
        <w:gridCol w:w="3840"/>
        <w:gridCol w:w="11"/>
      </w:tblGrid>
      <w:tr w:rsidR="00810B0B" w:rsidRPr="00810B0B" w:rsidTr="00810B0B">
        <w:trPr>
          <w:gridAfter w:val="1"/>
          <w:wAfter w:w="11" w:type="dxa"/>
          <w:trHeight w:val="33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10B0B" w:rsidRPr="00810B0B" w:rsidTr="00820958">
        <w:trPr>
          <w:gridAfter w:val="1"/>
          <w:wAfter w:w="11" w:type="dxa"/>
          <w:trHeight w:val="295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10B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B0B">
              <w:rPr>
                <w:rFonts w:ascii="Times New Roman" w:hAnsi="Times New Roman" w:cs="Times New Roman"/>
                <w:b/>
              </w:rPr>
              <w:t>Обор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10B0B">
              <w:rPr>
                <w:rFonts w:ascii="Times New Roman" w:hAnsi="Times New Roman" w:cs="Times New Roman"/>
                <w:b/>
              </w:rPr>
              <w:t>дование и технические средства обучения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Компьюте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</w:t>
            </w:r>
            <w:r w:rsidRPr="00810B0B">
              <w:rPr>
                <w:rFonts w:ascii="Times New Roman" w:hAnsi="Times New Roman" w:cs="Times New Roman"/>
              </w:rPr>
              <w:t>оекто</w:t>
            </w:r>
            <w:r>
              <w:rPr>
                <w:rFonts w:ascii="Times New Roman" w:hAnsi="Times New Roman" w:cs="Times New Roman"/>
              </w:rPr>
              <w:t>р</w:t>
            </w:r>
            <w:r w:rsidRPr="00810B0B">
              <w:rPr>
                <w:rFonts w:ascii="Times New Roman" w:hAnsi="Times New Roman" w:cs="Times New Roman"/>
              </w:rPr>
              <w:t xml:space="preserve"> или телевизор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C94029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 xml:space="preserve">отработки </w:t>
            </w:r>
            <w:r w:rsidRPr="00C94029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8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82095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>отработк</w:t>
            </w:r>
            <w:r w:rsidR="00D206E5">
              <w:rPr>
                <w:rFonts w:ascii="Times New Roman" w:hAnsi="Times New Roman" w:cs="Times New Roman"/>
              </w:rPr>
              <w:t xml:space="preserve">и </w:t>
            </w:r>
            <w:r w:rsidR="00810B0B" w:rsidRPr="00810B0B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549" w:hanging="226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 xml:space="preserve">1 комплект (достаточный для обучения одной </w:t>
            </w:r>
            <w:r w:rsidR="00C94029">
              <w:rPr>
                <w:rFonts w:ascii="Times New Roman" w:hAnsi="Times New Roman" w:cs="Times New Roman"/>
              </w:rPr>
              <w:t>гр</w:t>
            </w:r>
            <w:r w:rsidRPr="00810B0B">
              <w:rPr>
                <w:rFonts w:ascii="Times New Roman" w:hAnsi="Times New Roman" w:cs="Times New Roman"/>
              </w:rPr>
              <w:t>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6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C94029" w:rsidRPr="00810B0B" w:rsidTr="00820958">
        <w:trPr>
          <w:gridAfter w:val="1"/>
          <w:wAfter w:w="11" w:type="dxa"/>
          <w:trHeight w:val="288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Pr="00C94029" w:rsidRDefault="00C94029" w:rsidP="00C940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</w:tc>
      </w:tr>
      <w:tr w:rsidR="00810B0B" w:rsidRPr="00810B0B" w:rsidTr="00C94029">
        <w:trPr>
          <w:gridAfter w:val="1"/>
          <w:wAfter w:w="11" w:type="dxa"/>
          <w:trHeight w:val="81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Default="00810B0B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Учебно-методические пособия, содержащие материалы дл</w:t>
            </w:r>
            <w:r w:rsidR="00C94029">
              <w:rPr>
                <w:rFonts w:ascii="Times New Roman" w:hAnsi="Times New Roman" w:cs="Times New Roman"/>
              </w:rPr>
              <w:t>я обучения по разделам, указанным</w:t>
            </w:r>
            <w:r w:rsidRPr="00810B0B">
              <w:rPr>
                <w:rFonts w:ascii="Times New Roman" w:hAnsi="Times New Roman" w:cs="Times New Roman"/>
              </w:rPr>
              <w:t xml:space="preserve"> в Типовой программе. </w:t>
            </w:r>
          </w:p>
          <w:p w:rsidR="00810B0B" w:rsidRPr="00810B0B" w:rsidRDefault="00C94029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="00810B0B" w:rsidRPr="00C94029">
              <w:rPr>
                <w:rFonts w:ascii="Times New Roman" w:hAnsi="Times New Roman" w:cs="Times New Roman"/>
                <w:i/>
              </w:rPr>
              <w:t>огут быть представлены в виде печатных изданий, плакатов, электронных учебных материалов, тематических</w:t>
            </w:r>
            <w:r w:rsidRPr="00C94029">
              <w:rPr>
                <w:rFonts w:ascii="Times New Roman" w:hAnsi="Times New Roman" w:cs="Times New Roman"/>
                <w:i/>
              </w:rPr>
              <w:t xml:space="preserve"> фильмов, пр</w:t>
            </w:r>
            <w:r w:rsidR="00810B0B" w:rsidRPr="00C94029">
              <w:rPr>
                <w:rFonts w:ascii="Times New Roman" w:hAnsi="Times New Roman" w:cs="Times New Roman"/>
                <w:i/>
              </w:rPr>
              <w:t>езентаций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820958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А и Пр</w:t>
            </w:r>
            <w:r w:rsidR="00810B0B" w:rsidRPr="00810B0B">
              <w:rPr>
                <w:rFonts w:ascii="Times New Roman" w:hAnsi="Times New Roman" w:cs="Times New Roman"/>
              </w:rPr>
              <w:t>иложение В к ДОПОГ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810B0B" w:rsidRPr="00810B0B" w:rsidTr="00C94029">
        <w:trPr>
          <w:trHeight w:val="499"/>
        </w:trPr>
        <w:tc>
          <w:tcPr>
            <w:tcW w:w="7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C94029" w:rsidRDefault="00810B0B" w:rsidP="00C94029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</w:t>
            </w:r>
            <w:r w:rsidR="00C94029" w:rsidRPr="00C94029">
              <w:rPr>
                <w:rFonts w:ascii="Times New Roman" w:hAnsi="Times New Roman" w:cs="Times New Roman"/>
                <w:b/>
              </w:rPr>
              <w:t>ф</w:t>
            </w:r>
            <w:r w:rsidRPr="00C94029">
              <w:rPr>
                <w:rFonts w:ascii="Times New Roman" w:hAnsi="Times New Roman" w:cs="Times New Roman"/>
                <w:b/>
              </w:rPr>
              <w:t>о</w:t>
            </w:r>
            <w:r w:rsidR="00C94029" w:rsidRPr="00C94029">
              <w:rPr>
                <w:rFonts w:ascii="Times New Roman" w:hAnsi="Times New Roman" w:cs="Times New Roman"/>
                <w:b/>
              </w:rPr>
              <w:t>р</w:t>
            </w:r>
            <w:r w:rsidRPr="00C94029">
              <w:rPr>
                <w:rFonts w:ascii="Times New Roman" w:hAnsi="Times New Roman" w:cs="Times New Roman"/>
                <w:b/>
              </w:rPr>
              <w:t>мационны</w:t>
            </w:r>
            <w:r w:rsidR="00C94029">
              <w:rPr>
                <w:rFonts w:ascii="Times New Roman" w:hAnsi="Times New Roman" w:cs="Times New Roman"/>
                <w:b/>
              </w:rPr>
              <w:t>й</w:t>
            </w:r>
            <w:r w:rsidRPr="00C94029">
              <w:rPr>
                <w:rFonts w:ascii="Times New Roman" w:hAnsi="Times New Roman" w:cs="Times New Roman"/>
                <w:b/>
              </w:rPr>
              <w:t xml:space="preserve"> стенд</w:t>
            </w:r>
          </w:p>
        </w:tc>
      </w:tr>
      <w:tr w:rsidR="00810B0B" w:rsidRPr="00810B0B" w:rsidTr="00810B0B">
        <w:trPr>
          <w:gridAfter w:val="1"/>
          <w:wAfter w:w="11" w:type="dxa"/>
          <w:trHeight w:val="98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0" w:firstLine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lastRenderedPageBreak/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820958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</w:t>
            </w:r>
            <w:r w:rsidR="00810B0B" w:rsidRPr="00810B0B">
              <w:rPr>
                <w:rFonts w:ascii="Times New Roman" w:hAnsi="Times New Roman" w:cs="Times New Roman"/>
              </w:rPr>
              <w:t>ессионального обучения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6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Адрес официального сайта в информационно телекоммуникационной сети «Интернет»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20958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810B0B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="00C94029"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C94029" w:rsidRP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D206E5" w:rsidRDefault="00C94029" w:rsidP="00D206E5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Текущий контроль успеваемости и промежуточной (оценки)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D206E5" w:rsidRDefault="00D206E5" w:rsidP="00D206E5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подготовки.</w:t>
      </w:r>
      <w:r w:rsidRPr="00D206E5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</w:p>
    <w:p w:rsidR="00810B0B" w:rsidRPr="00C94029" w:rsidRDefault="00D206E5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</w:t>
      </w:r>
      <w:r w:rsidR="00C94029">
        <w:rPr>
          <w:rStyle w:val="a3"/>
          <w:rFonts w:ascii="Times New Roman" w:hAnsi="Times New Roman" w:cs="Times New Roman"/>
          <w:sz w:val="24"/>
          <w:szCs w:val="24"/>
        </w:rPr>
        <w:t>енных</w:t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руководителем организации, осуществляющей образовательную деятельность.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Результаты сдачи квалификационного экзамена оформляются протоколом.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</w:t>
      </w:r>
      <w:r>
        <w:rPr>
          <w:rStyle w:val="a3"/>
          <w:rFonts w:ascii="Times New Roman" w:hAnsi="Times New Roman" w:cs="Times New Roman"/>
          <w:sz w:val="24"/>
          <w:szCs w:val="24"/>
        </w:rPr>
        <w:t>ь.</w:t>
      </w:r>
    </w:p>
    <w:p w:rsidR="00810B0B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20958" w:rsidRDefault="00820958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sectPr w:rsidR="00820958" w:rsidSect="001E6FC5">
      <w:foot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22" w:rsidRDefault="004C6D22" w:rsidP="00E97459">
      <w:pPr>
        <w:spacing w:after="0" w:line="240" w:lineRule="auto"/>
      </w:pPr>
      <w:r>
        <w:separator/>
      </w:r>
    </w:p>
  </w:endnote>
  <w:endnote w:type="continuationSeparator" w:id="0">
    <w:p w:rsidR="004C6D22" w:rsidRDefault="004C6D22" w:rsidP="00E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98857"/>
      <w:docPartObj>
        <w:docPartGallery w:val="Page Numbers (Bottom of Page)"/>
        <w:docPartUnique/>
      </w:docPartObj>
    </w:sdtPr>
    <w:sdtEndPr/>
    <w:sdtContent>
      <w:p w:rsidR="00820958" w:rsidRDefault="008209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C5">
          <w:rPr>
            <w:noProof/>
          </w:rPr>
          <w:t>12</w:t>
        </w:r>
        <w:r>
          <w:fldChar w:fldCharType="end"/>
        </w:r>
      </w:p>
    </w:sdtContent>
  </w:sdt>
  <w:p w:rsidR="00820958" w:rsidRDefault="008209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22" w:rsidRDefault="004C6D22" w:rsidP="00E97459">
      <w:pPr>
        <w:spacing w:after="0" w:line="240" w:lineRule="auto"/>
      </w:pPr>
      <w:r>
        <w:separator/>
      </w:r>
    </w:p>
  </w:footnote>
  <w:footnote w:type="continuationSeparator" w:id="0">
    <w:p w:rsidR="004C6D22" w:rsidRDefault="004C6D22" w:rsidP="00E97459">
      <w:pPr>
        <w:spacing w:after="0" w:line="240" w:lineRule="auto"/>
      </w:pPr>
      <w:r>
        <w:continuationSeparator/>
      </w:r>
    </w:p>
  </w:footnote>
  <w:footnote w:id="1">
    <w:p w:rsidR="00820958" w:rsidRPr="009C6ED1" w:rsidRDefault="00820958" w:rsidP="004736F8">
      <w:pPr>
        <w:pStyle w:val="footnotedescription"/>
        <w:spacing w:line="300" w:lineRule="auto"/>
        <w:ind w:left="144" w:right="0" w:firstLine="715"/>
        <w:rPr>
          <w:lang w:val="ru-RU"/>
        </w:rPr>
      </w:pPr>
      <w:r>
        <w:rPr>
          <w:rStyle w:val="footnotemark"/>
        </w:rPr>
        <w:footnoteRef/>
      </w:r>
      <w:r w:rsidRPr="009C6ED1">
        <w:rPr>
          <w:lang w:val="ru-RU"/>
        </w:rPr>
        <w:t xml:space="preserve"> Постановление Правительства Российской Федерации от 21 декабря 2020 г. № 2200 «Об утверждении Правил перевозок грузов автомобильным транспортом и о внесении изменений в пункт 2.1.1 Правил</w:t>
      </w:r>
      <w:r>
        <w:rPr>
          <w:lang w:val="ru-RU"/>
        </w:rPr>
        <w:t xml:space="preserve"> </w:t>
      </w:r>
      <w:r w:rsidRPr="009C6ED1">
        <w:rPr>
          <w:lang w:val="ru-RU"/>
        </w:rPr>
        <w:t>дорожного движения Российской Федерации» (Собрание законодательства Российской Федерации 2020, № 52, ст. 8877, официальный интернет-портал правовой информации (</w:t>
      </w:r>
      <w:r>
        <w:t>www</w:t>
      </w:r>
      <w:r w:rsidRPr="009C6ED1">
        <w:rPr>
          <w:lang w:val="ru-RU"/>
        </w:rPr>
        <w:t>.</w:t>
      </w:r>
      <w:r>
        <w:t>pravo</w:t>
      </w:r>
      <w:r w:rsidRPr="009C6ED1">
        <w:rPr>
          <w:lang w:val="ru-RU"/>
        </w:rPr>
        <w:t>.</w:t>
      </w:r>
      <w:r>
        <w:t>gov</w:t>
      </w:r>
      <w:r w:rsidRPr="009C6ED1">
        <w:rPr>
          <w:lang w:val="ru-RU"/>
        </w:rPr>
        <w:t>.</w:t>
      </w:r>
      <w:r>
        <w:t>ru</w:t>
      </w:r>
      <w:r w:rsidRPr="009C6ED1">
        <w:rPr>
          <w:lang w:val="ru-RU"/>
        </w:rPr>
        <w:t xml:space="preserve">), 2021, 30 ноября, № 0001202111300126) (далее </w:t>
      </w:r>
      <w:r w:rsidRPr="009C6ED1">
        <w:rPr>
          <w:sz w:val="10"/>
          <w:lang w:val="ru-RU"/>
        </w:rPr>
        <w:t xml:space="preserve">— </w:t>
      </w:r>
      <w:r w:rsidRPr="009C6ED1">
        <w:rPr>
          <w:lang w:val="ru-RU"/>
        </w:rPr>
        <w:t>Правила перевозок грузов автомобильным транспортом).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3pt;visibility:visible;mso-wrap-style:square" o:bullet="t">
        <v:imagedata r:id="rId1" o:title=""/>
      </v:shape>
    </w:pict>
  </w:numPicBullet>
  <w:abstractNum w:abstractNumId="0" w15:restartNumberingAfterBreak="0">
    <w:nsid w:val="163C3B54"/>
    <w:multiLevelType w:val="multilevel"/>
    <w:tmpl w:val="927282A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B5"/>
    <w:multiLevelType w:val="multilevel"/>
    <w:tmpl w:val="B13CF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D5F3EC8"/>
    <w:multiLevelType w:val="hybridMultilevel"/>
    <w:tmpl w:val="7F24001E"/>
    <w:lvl w:ilvl="0" w:tplc="FC7CD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8E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1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69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A4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D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E8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7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22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69500FD"/>
    <w:multiLevelType w:val="hybridMultilevel"/>
    <w:tmpl w:val="CF9AFD7A"/>
    <w:lvl w:ilvl="0" w:tplc="A58A0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0EA7"/>
    <w:multiLevelType w:val="multilevel"/>
    <w:tmpl w:val="37D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3564"/>
    <w:rsid w:val="00035DAE"/>
    <w:rsid w:val="00053828"/>
    <w:rsid w:val="000900B8"/>
    <w:rsid w:val="000A684F"/>
    <w:rsid w:val="00170ADB"/>
    <w:rsid w:val="00186EE1"/>
    <w:rsid w:val="001D3F9F"/>
    <w:rsid w:val="001E6FC5"/>
    <w:rsid w:val="002328D8"/>
    <w:rsid w:val="00281F32"/>
    <w:rsid w:val="002A7187"/>
    <w:rsid w:val="002C58BD"/>
    <w:rsid w:val="00385160"/>
    <w:rsid w:val="003A652D"/>
    <w:rsid w:val="004016A5"/>
    <w:rsid w:val="00413A5B"/>
    <w:rsid w:val="004448C2"/>
    <w:rsid w:val="004736F8"/>
    <w:rsid w:val="00475825"/>
    <w:rsid w:val="004C5043"/>
    <w:rsid w:val="004C6D22"/>
    <w:rsid w:val="004D22DD"/>
    <w:rsid w:val="005755FB"/>
    <w:rsid w:val="005824FC"/>
    <w:rsid w:val="005B2888"/>
    <w:rsid w:val="005D083D"/>
    <w:rsid w:val="005E1AC1"/>
    <w:rsid w:val="005F2B13"/>
    <w:rsid w:val="00661008"/>
    <w:rsid w:val="006737FC"/>
    <w:rsid w:val="0069448C"/>
    <w:rsid w:val="006B1CEA"/>
    <w:rsid w:val="006B7FC5"/>
    <w:rsid w:val="00707405"/>
    <w:rsid w:val="007A5051"/>
    <w:rsid w:val="007C0B8C"/>
    <w:rsid w:val="007C4883"/>
    <w:rsid w:val="007E13D8"/>
    <w:rsid w:val="00810B0B"/>
    <w:rsid w:val="00811355"/>
    <w:rsid w:val="00820958"/>
    <w:rsid w:val="00852C0E"/>
    <w:rsid w:val="00857942"/>
    <w:rsid w:val="00883E8B"/>
    <w:rsid w:val="008A4219"/>
    <w:rsid w:val="00945092"/>
    <w:rsid w:val="009947C5"/>
    <w:rsid w:val="009C1E8D"/>
    <w:rsid w:val="009C37EE"/>
    <w:rsid w:val="009D5597"/>
    <w:rsid w:val="00A025AA"/>
    <w:rsid w:val="00B369B8"/>
    <w:rsid w:val="00B461C1"/>
    <w:rsid w:val="00B67399"/>
    <w:rsid w:val="00B72217"/>
    <w:rsid w:val="00BB614C"/>
    <w:rsid w:val="00BE6D3C"/>
    <w:rsid w:val="00C11D96"/>
    <w:rsid w:val="00C123B6"/>
    <w:rsid w:val="00C14820"/>
    <w:rsid w:val="00C54B4C"/>
    <w:rsid w:val="00C94029"/>
    <w:rsid w:val="00D07E22"/>
    <w:rsid w:val="00D117DD"/>
    <w:rsid w:val="00D206E5"/>
    <w:rsid w:val="00D27297"/>
    <w:rsid w:val="00D817F1"/>
    <w:rsid w:val="00D86716"/>
    <w:rsid w:val="00DD0CA2"/>
    <w:rsid w:val="00DD6473"/>
    <w:rsid w:val="00E01A58"/>
    <w:rsid w:val="00E71C93"/>
    <w:rsid w:val="00E97459"/>
    <w:rsid w:val="00F15E6F"/>
    <w:rsid w:val="00F432F3"/>
    <w:rsid w:val="00F6323C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C499-4335-4F02-BE86-D48A659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B4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4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C54B4C"/>
    <w:rPr>
      <w:sz w:val="20"/>
    </w:rPr>
  </w:style>
  <w:style w:type="paragraph" w:customStyle="1" w:styleId="a4">
    <w:name w:val="Нормальный (таблица)"/>
    <w:basedOn w:val="a"/>
    <w:next w:val="a"/>
    <w:uiPriority w:val="99"/>
    <w:rsid w:val="00F63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4"/>
    <w:next w:val="a"/>
    <w:uiPriority w:val="99"/>
    <w:rsid w:val="00F6323C"/>
    <w:pPr>
      <w:jc w:val="center"/>
    </w:pPr>
  </w:style>
  <w:style w:type="paragraph" w:styleId="a6">
    <w:name w:val="List Paragraph"/>
    <w:basedOn w:val="a"/>
    <w:uiPriority w:val="34"/>
    <w:qFormat/>
    <w:rsid w:val="00F63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9B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28D8"/>
    <w:pPr>
      <w:spacing w:after="0" w:line="240" w:lineRule="auto"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97459"/>
    <w:pPr>
      <w:spacing w:after="0" w:line="264" w:lineRule="auto"/>
      <w:ind w:left="134" w:right="10" w:firstLine="36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9745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97459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paragraph" w:styleId="aa">
    <w:name w:val="header"/>
    <w:basedOn w:val="a"/>
    <w:link w:val="ab"/>
    <w:uiPriority w:val="99"/>
    <w:unhideWhenUsed/>
    <w:rsid w:val="00E0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A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0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1A58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209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A3DC-36C8-4386-8B2C-157ECF24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Башленко</dc:creator>
  <cp:lastModifiedBy>Пользователь</cp:lastModifiedBy>
  <cp:revision>20</cp:revision>
  <cp:lastPrinted>2022-08-05T07:26:00Z</cp:lastPrinted>
  <dcterms:created xsi:type="dcterms:W3CDTF">2017-04-06T09:13:00Z</dcterms:created>
  <dcterms:modified xsi:type="dcterms:W3CDTF">2022-09-02T05:27:00Z</dcterms:modified>
</cp:coreProperties>
</file>